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33F8" w14:textId="19F4A6EC" w:rsidR="00FA57C9" w:rsidRDefault="0090378D" w:rsidP="007F7B91">
      <w:pPr>
        <w:tabs>
          <w:tab w:val="left" w:pos="90"/>
        </w:tabs>
        <w:spacing w:before="0" w:line="240" w:lineRule="auto"/>
        <w:ind w:right="-3150"/>
        <w:rPr>
          <w:rFonts w:ascii="Arial" w:eastAsia="Arial" w:hAnsi="Arial" w:cs="Arial"/>
          <w:b/>
          <w:sz w:val="36"/>
          <w:szCs w:val="36"/>
        </w:rPr>
      </w:pPr>
      <w:r w:rsidRPr="007F7B91">
        <w:rPr>
          <w:noProof/>
          <w:sz w:val="36"/>
          <w:szCs w:val="36"/>
        </w:rPr>
        <w:drawing>
          <wp:anchor distT="0" distB="0" distL="114300" distR="114300" simplePos="0" relativeHeight="251659264" behindDoc="0" locked="0" layoutInCell="1" allowOverlap="1" wp14:anchorId="53A9264F" wp14:editId="74130CB7">
            <wp:simplePos x="0" y="0"/>
            <wp:positionH relativeFrom="margin">
              <wp:align>center</wp:align>
            </wp:positionH>
            <wp:positionV relativeFrom="paragraph">
              <wp:posOffset>0</wp:posOffset>
            </wp:positionV>
            <wp:extent cx="6848922" cy="2203704"/>
            <wp:effectExtent l="0" t="0" r="0" b="6350"/>
            <wp:wrapTopAndBottom/>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8922" cy="2203704"/>
                    </a:xfrm>
                    <a:prstGeom prst="rect">
                      <a:avLst/>
                    </a:prstGeom>
                  </pic:spPr>
                </pic:pic>
              </a:graphicData>
            </a:graphic>
            <wp14:sizeRelV relativeFrom="margin">
              <wp14:pctHeight>0</wp14:pctHeight>
            </wp14:sizeRelV>
          </wp:anchor>
        </w:drawing>
      </w:r>
    </w:p>
    <w:p w14:paraId="73ABACEF" w14:textId="1D37A490" w:rsidR="007F7B91" w:rsidRPr="007F7B91" w:rsidRDefault="00B30EAD" w:rsidP="00B30EAD">
      <w:pPr>
        <w:tabs>
          <w:tab w:val="left" w:pos="90"/>
        </w:tabs>
        <w:spacing w:before="0" w:line="240" w:lineRule="auto"/>
        <w:jc w:val="center"/>
        <w:rPr>
          <w:rFonts w:ascii="Arial" w:eastAsia="Arial" w:hAnsi="Arial" w:cs="Arial"/>
          <w:b/>
          <w:sz w:val="36"/>
          <w:szCs w:val="36"/>
        </w:rPr>
      </w:pPr>
      <w:r>
        <w:rPr>
          <w:rFonts w:ascii="Arial" w:eastAsia="Arial" w:hAnsi="Arial" w:cs="Arial"/>
          <w:b/>
          <w:sz w:val="36"/>
          <w:szCs w:val="36"/>
        </w:rPr>
        <w:t>D</w:t>
      </w:r>
      <w:r w:rsidRPr="007F7B91">
        <w:rPr>
          <w:rFonts w:ascii="Arial" w:eastAsia="Arial" w:hAnsi="Arial" w:cs="Arial"/>
          <w:b/>
          <w:sz w:val="36"/>
          <w:szCs w:val="36"/>
        </w:rPr>
        <w:t>RAFT</w:t>
      </w:r>
    </w:p>
    <w:p w14:paraId="4D6797FB" w14:textId="77777777" w:rsidR="00B30EAD" w:rsidRDefault="00B30EAD" w:rsidP="00FA57C9">
      <w:pPr>
        <w:tabs>
          <w:tab w:val="left" w:pos="90"/>
        </w:tabs>
        <w:spacing w:before="0" w:line="240" w:lineRule="auto"/>
        <w:ind w:right="-666"/>
        <w:jc w:val="center"/>
        <w:rPr>
          <w:rFonts w:ascii="Arial" w:eastAsia="Arial" w:hAnsi="Arial" w:cs="Arial"/>
          <w:b/>
        </w:rPr>
        <w:sectPr w:rsidR="00B30EAD" w:rsidSect="00B30EAD">
          <w:footerReference w:type="default" r:id="rId8"/>
          <w:type w:val="continuous"/>
          <w:pgSz w:w="12240" w:h="15840"/>
          <w:pgMar w:top="1152" w:right="1440" w:bottom="1008" w:left="1440" w:header="634" w:footer="360" w:gutter="0"/>
          <w:cols w:space="720"/>
        </w:sectPr>
      </w:pPr>
      <w:bookmarkStart w:id="0" w:name="_qegdudn6svvd" w:colFirst="0" w:colLast="0"/>
      <w:bookmarkEnd w:id="0"/>
    </w:p>
    <w:p w14:paraId="18BA8145" w14:textId="77777777" w:rsidR="00FA57C9" w:rsidRDefault="00FA57C9" w:rsidP="00FA57C9">
      <w:pPr>
        <w:tabs>
          <w:tab w:val="left" w:pos="90"/>
        </w:tabs>
        <w:spacing w:before="0" w:line="240" w:lineRule="auto"/>
        <w:ind w:right="-666"/>
        <w:jc w:val="center"/>
        <w:rPr>
          <w:rFonts w:ascii="Arial" w:eastAsia="Arial" w:hAnsi="Arial" w:cs="Arial"/>
          <w:b/>
        </w:rPr>
      </w:pPr>
    </w:p>
    <w:p w14:paraId="70EEEBE7" w14:textId="77777777" w:rsidR="004C183F" w:rsidRDefault="004C183F" w:rsidP="00F716F1">
      <w:pPr>
        <w:spacing w:before="0" w:after="240" w:line="240" w:lineRule="auto"/>
        <w:jc w:val="center"/>
        <w:rPr>
          <w:b/>
          <w:sz w:val="24"/>
          <w:szCs w:val="24"/>
          <w:lang w:val="en-US"/>
        </w:rPr>
        <w:sectPr w:rsidR="004C183F" w:rsidSect="00A44FD4">
          <w:type w:val="continuous"/>
          <w:pgSz w:w="12240" w:h="15840"/>
          <w:pgMar w:top="1152" w:right="1440" w:bottom="1008" w:left="1440" w:header="634" w:footer="360" w:gutter="0"/>
          <w:cols w:num="2" w:space="720"/>
        </w:sectPr>
      </w:pPr>
      <w:bookmarkStart w:id="1" w:name="_qajdfc6wfl7u" w:colFirst="0" w:colLast="0"/>
      <w:bookmarkEnd w:id="1"/>
    </w:p>
    <w:p w14:paraId="5A868F7E" w14:textId="77777777" w:rsidR="006374D1" w:rsidRPr="00F716F1" w:rsidRDefault="00FA57C9" w:rsidP="00BC2BA7">
      <w:pPr>
        <w:spacing w:before="0" w:line="240" w:lineRule="auto"/>
        <w:jc w:val="center"/>
        <w:rPr>
          <w:b/>
          <w:sz w:val="24"/>
          <w:szCs w:val="24"/>
          <w:lang w:val="en-US"/>
        </w:rPr>
      </w:pPr>
      <w:r w:rsidRPr="00F716F1">
        <w:rPr>
          <w:b/>
          <w:sz w:val="24"/>
          <w:szCs w:val="24"/>
          <w:lang w:val="en-US"/>
        </w:rPr>
        <w:t xml:space="preserve">Criminal Justice Services Board </w:t>
      </w:r>
    </w:p>
    <w:p w14:paraId="45FDF52E" w14:textId="37051F17" w:rsidR="00FA57C9" w:rsidRPr="00F716F1" w:rsidRDefault="00FA57C9" w:rsidP="00BC2BA7">
      <w:pPr>
        <w:spacing w:before="0" w:line="240" w:lineRule="auto"/>
        <w:jc w:val="center"/>
        <w:rPr>
          <w:b/>
          <w:sz w:val="24"/>
          <w:szCs w:val="24"/>
          <w:lang w:val="en-US"/>
        </w:rPr>
      </w:pPr>
      <w:r w:rsidRPr="00F716F1">
        <w:rPr>
          <w:b/>
          <w:sz w:val="24"/>
          <w:szCs w:val="24"/>
          <w:lang w:val="en-US"/>
        </w:rPr>
        <w:t>Grants Committee Meeting</w:t>
      </w:r>
    </w:p>
    <w:p w14:paraId="69EE64A9" w14:textId="77777777" w:rsidR="006374D1" w:rsidRPr="00845E25" w:rsidRDefault="006374D1" w:rsidP="00FA57C9">
      <w:pPr>
        <w:tabs>
          <w:tab w:val="left" w:pos="90"/>
        </w:tabs>
        <w:spacing w:before="0" w:line="240" w:lineRule="auto"/>
        <w:ind w:right="-666"/>
        <w:jc w:val="center"/>
        <w:rPr>
          <w:rFonts w:eastAsia="Arial"/>
          <w:b/>
          <w:sz w:val="24"/>
          <w:szCs w:val="24"/>
        </w:rPr>
      </w:pPr>
    </w:p>
    <w:p w14:paraId="62006155" w14:textId="328FAB89" w:rsidR="00FA57C9" w:rsidRPr="00473D79" w:rsidRDefault="00813B30" w:rsidP="00473D79">
      <w:pPr>
        <w:spacing w:before="0" w:line="240" w:lineRule="auto"/>
        <w:jc w:val="center"/>
        <w:rPr>
          <w:sz w:val="24"/>
          <w:szCs w:val="24"/>
          <w:lang w:val="en-US"/>
        </w:rPr>
      </w:pPr>
      <w:r w:rsidRPr="00473D79">
        <w:rPr>
          <w:sz w:val="24"/>
          <w:szCs w:val="24"/>
          <w:lang w:val="en-US"/>
        </w:rPr>
        <w:t>May 29, 2025</w:t>
      </w:r>
    </w:p>
    <w:p w14:paraId="0BCD09E0" w14:textId="77777777" w:rsidR="00FA57C9" w:rsidRPr="000F5D09" w:rsidRDefault="00FA57C9" w:rsidP="00C51313">
      <w:pPr>
        <w:tabs>
          <w:tab w:val="left" w:pos="900"/>
        </w:tabs>
        <w:spacing w:before="0" w:line="240" w:lineRule="auto"/>
        <w:ind w:right="360"/>
        <w:rPr>
          <w:rFonts w:eastAsia="Arial"/>
          <w:sz w:val="24"/>
          <w:szCs w:val="24"/>
        </w:rPr>
        <w:sectPr w:rsidR="00FA57C9" w:rsidRPr="000F5D09" w:rsidSect="004C183F">
          <w:type w:val="continuous"/>
          <w:pgSz w:w="12240" w:h="15840"/>
          <w:pgMar w:top="1152" w:right="1440" w:bottom="1008" w:left="1440" w:header="634" w:footer="360" w:gutter="0"/>
          <w:cols w:space="720"/>
        </w:sectPr>
      </w:pPr>
    </w:p>
    <w:p w14:paraId="5C81C23D" w14:textId="1E5AB72C" w:rsidR="00E97FBE" w:rsidRDefault="00E97FBE" w:rsidP="00E97FBE">
      <w:pPr>
        <w:tabs>
          <w:tab w:val="left" w:pos="1485"/>
        </w:tabs>
        <w:spacing w:before="0" w:after="240" w:line="240" w:lineRule="auto"/>
        <w:ind w:right="360"/>
        <w:rPr>
          <w:rFonts w:eastAsia="Arial"/>
          <w:b/>
          <w:sz w:val="24"/>
          <w:szCs w:val="24"/>
        </w:rPr>
      </w:pPr>
    </w:p>
    <w:tbl>
      <w:tblPr>
        <w:tblStyle w:val="TableGrid"/>
        <w:tblW w:w="95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80"/>
      </w:tblGrid>
      <w:tr w:rsidR="00E97FBE" w:rsidRPr="009622E5" w14:paraId="0BB78279" w14:textId="77777777" w:rsidTr="00342779">
        <w:tc>
          <w:tcPr>
            <w:tcW w:w="4860" w:type="dxa"/>
          </w:tcPr>
          <w:p w14:paraId="79058928" w14:textId="77777777" w:rsidR="00E97FBE" w:rsidRPr="00AA3C28" w:rsidRDefault="00E97FBE" w:rsidP="00AA3C28">
            <w:pPr>
              <w:spacing w:before="0" w:line="240" w:lineRule="auto"/>
              <w:rPr>
                <w:b/>
                <w:i/>
                <w:sz w:val="24"/>
                <w:szCs w:val="24"/>
                <w:lang w:val="en-US"/>
              </w:rPr>
            </w:pPr>
            <w:r w:rsidRPr="00AA3C28">
              <w:rPr>
                <w:b/>
                <w:i/>
                <w:sz w:val="24"/>
                <w:szCs w:val="24"/>
                <w:lang w:val="en-US"/>
              </w:rPr>
              <w:t>Members Present</w:t>
            </w:r>
          </w:p>
          <w:p w14:paraId="3C9899CC" w14:textId="77777777" w:rsidR="00082875" w:rsidRDefault="00D677F9" w:rsidP="00082875">
            <w:pPr>
              <w:spacing w:before="0" w:line="240" w:lineRule="auto"/>
              <w:rPr>
                <w:sz w:val="24"/>
                <w:szCs w:val="24"/>
                <w:lang w:val="en-US"/>
              </w:rPr>
            </w:pPr>
            <w:r w:rsidRPr="00D677F9">
              <w:rPr>
                <w:sz w:val="24"/>
                <w:szCs w:val="24"/>
                <w:lang w:val="en-US"/>
              </w:rPr>
              <w:t>Chief Craig Branch, Chair</w:t>
            </w:r>
            <w:bookmarkStart w:id="2" w:name="_Hlk159497464"/>
            <w:r w:rsidR="00082875" w:rsidRPr="00971A7F">
              <w:rPr>
                <w:sz w:val="24"/>
                <w:szCs w:val="24"/>
                <w:lang w:val="en-US"/>
              </w:rPr>
              <w:t xml:space="preserve"> </w:t>
            </w:r>
          </w:p>
          <w:p w14:paraId="3F94A2A3" w14:textId="4B920A0E" w:rsidR="00082875" w:rsidRPr="00971A7F" w:rsidRDefault="00082875" w:rsidP="00082875">
            <w:pPr>
              <w:spacing w:before="0" w:line="240" w:lineRule="auto"/>
              <w:rPr>
                <w:sz w:val="24"/>
                <w:szCs w:val="24"/>
                <w:lang w:val="en-US"/>
              </w:rPr>
            </w:pPr>
            <w:r w:rsidRPr="00971A7F">
              <w:rPr>
                <w:sz w:val="24"/>
                <w:szCs w:val="24"/>
                <w:lang w:val="en-US"/>
              </w:rPr>
              <w:t>Sheriff Brian Hieatt</w:t>
            </w:r>
            <w:bookmarkEnd w:id="2"/>
            <w:r w:rsidRPr="00971A7F">
              <w:rPr>
                <w:sz w:val="24"/>
                <w:szCs w:val="24"/>
                <w:lang w:val="en-US"/>
              </w:rPr>
              <w:t>, Vice Chair</w:t>
            </w:r>
          </w:p>
          <w:p w14:paraId="544F31E7" w14:textId="77777777" w:rsidR="00E97FBE" w:rsidRPr="00971A7F" w:rsidRDefault="00E97FBE" w:rsidP="00971A7F">
            <w:pPr>
              <w:spacing w:before="0" w:line="240" w:lineRule="auto"/>
              <w:rPr>
                <w:sz w:val="24"/>
                <w:szCs w:val="24"/>
                <w:lang w:val="en-US"/>
              </w:rPr>
            </w:pPr>
            <w:r w:rsidRPr="00971A7F">
              <w:rPr>
                <w:sz w:val="24"/>
                <w:szCs w:val="24"/>
                <w:lang w:val="en-US"/>
              </w:rPr>
              <w:t>Ebony Clark</w:t>
            </w:r>
          </w:p>
          <w:p w14:paraId="7D3A5816" w14:textId="77777777" w:rsidR="00E97FBE" w:rsidRPr="00971A7F" w:rsidRDefault="00E97FBE" w:rsidP="00971A7F">
            <w:pPr>
              <w:spacing w:before="0" w:line="240" w:lineRule="auto"/>
              <w:rPr>
                <w:sz w:val="24"/>
                <w:szCs w:val="24"/>
                <w:lang w:val="en-US"/>
              </w:rPr>
            </w:pPr>
            <w:r w:rsidRPr="00971A7F">
              <w:rPr>
                <w:sz w:val="24"/>
                <w:szCs w:val="24"/>
                <w:lang w:val="en-US"/>
              </w:rPr>
              <w:t>Maria Jankowski</w:t>
            </w:r>
          </w:p>
          <w:p w14:paraId="425236C8" w14:textId="77777777" w:rsidR="00E97FBE" w:rsidRPr="009622E5" w:rsidRDefault="00E97FBE" w:rsidP="00971A7F">
            <w:pPr>
              <w:spacing w:before="0" w:line="240" w:lineRule="auto"/>
            </w:pPr>
            <w:r w:rsidRPr="00971A7F">
              <w:rPr>
                <w:sz w:val="24"/>
                <w:szCs w:val="24"/>
                <w:lang w:val="en-US"/>
              </w:rPr>
              <w:t>Russell “Rusty” McGuire</w:t>
            </w:r>
          </w:p>
        </w:tc>
        <w:tc>
          <w:tcPr>
            <w:tcW w:w="4680" w:type="dxa"/>
          </w:tcPr>
          <w:p w14:paraId="670C7AFC" w14:textId="77777777" w:rsidR="00E97FBE" w:rsidRPr="00365D46" w:rsidRDefault="00E97FBE" w:rsidP="00365D46">
            <w:pPr>
              <w:spacing w:before="0" w:line="240" w:lineRule="auto"/>
              <w:ind w:left="960"/>
              <w:rPr>
                <w:b/>
                <w:bCs/>
                <w:i/>
                <w:iCs/>
                <w:sz w:val="24"/>
                <w:szCs w:val="24"/>
                <w:lang w:val="en-US"/>
              </w:rPr>
            </w:pPr>
            <w:r w:rsidRPr="00365D46">
              <w:rPr>
                <w:b/>
                <w:bCs/>
                <w:i/>
                <w:iCs/>
                <w:sz w:val="24"/>
                <w:szCs w:val="24"/>
                <w:lang w:val="en-US"/>
              </w:rPr>
              <w:t>Members Absent</w:t>
            </w:r>
          </w:p>
          <w:p w14:paraId="7B1DBFE9" w14:textId="77777777" w:rsidR="00D677F9" w:rsidRPr="00971A7F" w:rsidRDefault="00D677F9" w:rsidP="00ED459E">
            <w:pPr>
              <w:spacing w:before="0" w:line="240" w:lineRule="auto"/>
              <w:ind w:firstLine="885"/>
              <w:rPr>
                <w:sz w:val="24"/>
                <w:szCs w:val="24"/>
                <w:lang w:val="en-US"/>
              </w:rPr>
            </w:pPr>
            <w:r w:rsidRPr="00971A7F">
              <w:rPr>
                <w:sz w:val="24"/>
                <w:szCs w:val="24"/>
                <w:lang w:val="en-US"/>
              </w:rPr>
              <w:t>Officer Bennie Evans, Jr.</w:t>
            </w:r>
          </w:p>
          <w:p w14:paraId="25E98C49" w14:textId="77777777" w:rsidR="00E97FBE" w:rsidRPr="009622E5" w:rsidRDefault="00E97FBE" w:rsidP="00342779">
            <w:pPr>
              <w:ind w:left="954"/>
            </w:pPr>
          </w:p>
        </w:tc>
      </w:tr>
      <w:tr w:rsidR="00E97FBE" w:rsidRPr="009622E5" w14:paraId="4CC54A45" w14:textId="77777777" w:rsidTr="00342779">
        <w:tc>
          <w:tcPr>
            <w:tcW w:w="4860" w:type="dxa"/>
          </w:tcPr>
          <w:p w14:paraId="1A15070B" w14:textId="77777777" w:rsidR="00E97FBE" w:rsidRPr="009622E5" w:rsidRDefault="00E97FBE" w:rsidP="00342779">
            <w:pPr>
              <w:rPr>
                <w:b/>
                <w:i/>
              </w:rPr>
            </w:pPr>
          </w:p>
        </w:tc>
        <w:tc>
          <w:tcPr>
            <w:tcW w:w="4680" w:type="dxa"/>
          </w:tcPr>
          <w:p w14:paraId="33BBF57B" w14:textId="77777777" w:rsidR="00E97FBE" w:rsidRPr="009622E5" w:rsidRDefault="00E97FBE" w:rsidP="00342779">
            <w:pPr>
              <w:ind w:left="960"/>
              <w:rPr>
                <w:b/>
                <w:bCs/>
                <w:i/>
                <w:iCs/>
              </w:rPr>
            </w:pPr>
          </w:p>
        </w:tc>
      </w:tr>
    </w:tbl>
    <w:p w14:paraId="7DB30EEB" w14:textId="77777777" w:rsidR="0043184A" w:rsidRPr="000F5D09" w:rsidRDefault="0043184A" w:rsidP="001D025F">
      <w:pPr>
        <w:pStyle w:val="ListParagraph"/>
        <w:numPr>
          <w:ilvl w:val="0"/>
          <w:numId w:val="2"/>
        </w:numPr>
        <w:tabs>
          <w:tab w:val="left" w:pos="900"/>
        </w:tabs>
        <w:spacing w:before="0" w:after="240" w:line="240" w:lineRule="auto"/>
        <w:ind w:left="0"/>
        <w:contextualSpacing w:val="0"/>
        <w:rPr>
          <w:rFonts w:eastAsia="Arial"/>
          <w:b/>
          <w:sz w:val="24"/>
          <w:szCs w:val="24"/>
        </w:rPr>
      </w:pPr>
      <w:r w:rsidRPr="000F5D09">
        <w:rPr>
          <w:rFonts w:eastAsia="Arial"/>
          <w:b/>
          <w:sz w:val="24"/>
          <w:szCs w:val="24"/>
        </w:rPr>
        <w:t xml:space="preserve">Call to Order </w:t>
      </w:r>
    </w:p>
    <w:p w14:paraId="7A5ABF86" w14:textId="6A6E6D87" w:rsidR="0043184A" w:rsidRPr="000F5D09" w:rsidRDefault="0043184A" w:rsidP="001D025F">
      <w:pPr>
        <w:tabs>
          <w:tab w:val="left" w:pos="900"/>
        </w:tabs>
        <w:spacing w:before="0" w:after="240" w:line="240" w:lineRule="auto"/>
        <w:rPr>
          <w:rFonts w:eastAsia="Arial"/>
          <w:bCs/>
          <w:sz w:val="24"/>
          <w:szCs w:val="24"/>
        </w:rPr>
      </w:pPr>
      <w:r w:rsidRPr="000F5D09">
        <w:rPr>
          <w:rFonts w:eastAsia="Arial"/>
          <w:bCs/>
          <w:sz w:val="24"/>
          <w:szCs w:val="24"/>
        </w:rPr>
        <w:t xml:space="preserve">Chief Craig Branch called the meeting to order at </w:t>
      </w:r>
      <w:r w:rsidR="00577DA6" w:rsidRPr="000F5D09">
        <w:rPr>
          <w:rFonts w:eastAsia="Arial"/>
          <w:bCs/>
          <w:sz w:val="24"/>
          <w:szCs w:val="24"/>
        </w:rPr>
        <w:t>11:</w:t>
      </w:r>
      <w:r w:rsidR="00052E72" w:rsidRPr="000F5D09">
        <w:rPr>
          <w:rFonts w:eastAsia="Arial"/>
          <w:bCs/>
          <w:sz w:val="24"/>
          <w:szCs w:val="24"/>
        </w:rPr>
        <w:t>01</w:t>
      </w:r>
      <w:r w:rsidR="00E515E9" w:rsidRPr="000F5D09">
        <w:t xml:space="preserve"> AM</w:t>
      </w:r>
    </w:p>
    <w:p w14:paraId="3FACFD7F" w14:textId="78A21957" w:rsidR="0043184A" w:rsidRPr="000F5D09" w:rsidRDefault="0043184A" w:rsidP="001D025F">
      <w:pPr>
        <w:pStyle w:val="ListParagraph"/>
        <w:numPr>
          <w:ilvl w:val="0"/>
          <w:numId w:val="2"/>
        </w:numPr>
        <w:tabs>
          <w:tab w:val="left" w:pos="900"/>
        </w:tabs>
        <w:spacing w:before="0" w:after="240" w:line="240" w:lineRule="auto"/>
        <w:ind w:left="0"/>
        <w:contextualSpacing w:val="0"/>
        <w:rPr>
          <w:rFonts w:eastAsia="Arial"/>
          <w:b/>
          <w:sz w:val="24"/>
          <w:szCs w:val="24"/>
        </w:rPr>
      </w:pPr>
      <w:r w:rsidRPr="000F5D09">
        <w:rPr>
          <w:rFonts w:eastAsia="Arial"/>
          <w:b/>
          <w:sz w:val="24"/>
          <w:szCs w:val="24"/>
        </w:rPr>
        <w:t>Roll Call</w:t>
      </w:r>
    </w:p>
    <w:p w14:paraId="6707EAF7" w14:textId="016006EC" w:rsidR="0043184A" w:rsidRPr="000F5D09" w:rsidRDefault="0043184A" w:rsidP="001D025F">
      <w:pPr>
        <w:tabs>
          <w:tab w:val="left" w:pos="900"/>
        </w:tabs>
        <w:spacing w:before="0" w:after="240" w:line="240" w:lineRule="auto"/>
        <w:rPr>
          <w:rFonts w:eastAsia="Arial"/>
          <w:bCs/>
          <w:sz w:val="24"/>
          <w:szCs w:val="24"/>
        </w:rPr>
      </w:pPr>
      <w:r w:rsidRPr="000F5D09">
        <w:rPr>
          <w:rFonts w:eastAsia="Arial"/>
          <w:bCs/>
          <w:sz w:val="24"/>
          <w:szCs w:val="24"/>
        </w:rPr>
        <w:t>Chief Bran</w:t>
      </w:r>
      <w:r w:rsidR="00AC2C2B">
        <w:rPr>
          <w:rFonts w:eastAsia="Arial"/>
          <w:bCs/>
          <w:sz w:val="24"/>
          <w:szCs w:val="24"/>
        </w:rPr>
        <w:t>ch</w:t>
      </w:r>
      <w:r w:rsidRPr="000F5D09">
        <w:rPr>
          <w:rFonts w:eastAsia="Arial"/>
          <w:bCs/>
          <w:sz w:val="24"/>
          <w:szCs w:val="24"/>
        </w:rPr>
        <w:t xml:space="preserve"> asked </w:t>
      </w:r>
      <w:r w:rsidR="008938A3" w:rsidRPr="000F5D09">
        <w:rPr>
          <w:rFonts w:eastAsia="Arial"/>
          <w:bCs/>
          <w:sz w:val="24"/>
          <w:szCs w:val="24"/>
        </w:rPr>
        <w:t xml:space="preserve">Wendy Lohr-Hopp to conduct Roll Call. </w:t>
      </w:r>
      <w:r w:rsidR="00AC2C2B">
        <w:rPr>
          <w:rFonts w:eastAsia="Arial"/>
          <w:bCs/>
          <w:sz w:val="24"/>
          <w:szCs w:val="24"/>
        </w:rPr>
        <w:t xml:space="preserve">Ms. Hopp </w:t>
      </w:r>
      <w:r w:rsidR="008938A3" w:rsidRPr="000F5D09">
        <w:rPr>
          <w:rFonts w:eastAsia="Arial"/>
          <w:bCs/>
          <w:sz w:val="24"/>
          <w:szCs w:val="24"/>
        </w:rPr>
        <w:t xml:space="preserve">stated there was a quorum with </w:t>
      </w:r>
      <w:r w:rsidR="00E515E9" w:rsidRPr="000F5D09">
        <w:rPr>
          <w:rFonts w:eastAsia="Arial"/>
          <w:bCs/>
          <w:sz w:val="24"/>
          <w:szCs w:val="24"/>
        </w:rPr>
        <w:t>five</w:t>
      </w:r>
      <w:r w:rsidR="008938A3" w:rsidRPr="000F5D09">
        <w:rPr>
          <w:rFonts w:eastAsia="Arial"/>
          <w:bCs/>
          <w:sz w:val="24"/>
          <w:szCs w:val="24"/>
        </w:rPr>
        <w:t xml:space="preserve"> members present. </w:t>
      </w:r>
      <w:r w:rsidR="00CA0EB7" w:rsidRPr="000F5D09">
        <w:rPr>
          <w:rFonts w:eastAsia="Arial"/>
          <w:bCs/>
          <w:sz w:val="24"/>
          <w:szCs w:val="24"/>
        </w:rPr>
        <w:t xml:space="preserve">All members joined the meeting by electronic communications. </w:t>
      </w:r>
    </w:p>
    <w:p w14:paraId="038159AC" w14:textId="28CF13B1" w:rsidR="00CF5207" w:rsidRPr="000F5D09" w:rsidRDefault="00CF5207" w:rsidP="001D025F">
      <w:pPr>
        <w:pStyle w:val="ListParagraph"/>
        <w:numPr>
          <w:ilvl w:val="0"/>
          <w:numId w:val="2"/>
        </w:numPr>
        <w:tabs>
          <w:tab w:val="left" w:pos="900"/>
        </w:tabs>
        <w:spacing w:before="0" w:after="240" w:line="240" w:lineRule="auto"/>
        <w:ind w:left="0"/>
        <w:contextualSpacing w:val="0"/>
        <w:rPr>
          <w:rFonts w:eastAsia="Arial"/>
          <w:b/>
          <w:sz w:val="24"/>
          <w:szCs w:val="24"/>
        </w:rPr>
      </w:pPr>
      <w:r w:rsidRPr="000F5D09">
        <w:rPr>
          <w:rFonts w:eastAsia="Arial"/>
          <w:b/>
          <w:sz w:val="24"/>
          <w:szCs w:val="24"/>
        </w:rPr>
        <w:t>Introductions/Opening Comments</w:t>
      </w:r>
    </w:p>
    <w:p w14:paraId="6485B811" w14:textId="157A866B" w:rsidR="00CF5207" w:rsidRPr="000F5D09" w:rsidRDefault="00CF5207" w:rsidP="001D025F">
      <w:pPr>
        <w:tabs>
          <w:tab w:val="left" w:pos="900"/>
        </w:tabs>
        <w:spacing w:before="0" w:after="240" w:line="240" w:lineRule="auto"/>
        <w:rPr>
          <w:rFonts w:eastAsia="Arial"/>
          <w:bCs/>
          <w:sz w:val="24"/>
          <w:szCs w:val="24"/>
        </w:rPr>
      </w:pPr>
      <w:r w:rsidRPr="000F5D09">
        <w:rPr>
          <w:rFonts w:eastAsia="Arial"/>
          <w:bCs/>
          <w:sz w:val="24"/>
          <w:szCs w:val="24"/>
        </w:rPr>
        <w:t xml:space="preserve">Chief Branch officially welcomed guests and any agency dignitaries. </w:t>
      </w:r>
    </w:p>
    <w:p w14:paraId="31C1185F" w14:textId="3F0FE2C1" w:rsidR="00FA57C9" w:rsidRPr="000F5D09" w:rsidRDefault="00FA57C9" w:rsidP="001D025F">
      <w:pPr>
        <w:pStyle w:val="ListParagraph"/>
        <w:numPr>
          <w:ilvl w:val="0"/>
          <w:numId w:val="2"/>
        </w:numPr>
        <w:tabs>
          <w:tab w:val="left" w:pos="900"/>
        </w:tabs>
        <w:spacing w:before="0" w:after="240" w:line="240" w:lineRule="auto"/>
        <w:ind w:left="0"/>
        <w:contextualSpacing w:val="0"/>
        <w:rPr>
          <w:rFonts w:eastAsia="Arial"/>
          <w:b/>
          <w:sz w:val="24"/>
          <w:szCs w:val="24"/>
        </w:rPr>
      </w:pPr>
      <w:r w:rsidRPr="000F5D09">
        <w:rPr>
          <w:rFonts w:eastAsia="Arial"/>
          <w:b/>
          <w:sz w:val="24"/>
          <w:szCs w:val="24"/>
        </w:rPr>
        <w:t xml:space="preserve">Approval of Minutes of </w:t>
      </w:r>
      <w:r w:rsidR="00A34A95" w:rsidRPr="000F5D09">
        <w:rPr>
          <w:rFonts w:eastAsia="Arial"/>
          <w:b/>
          <w:sz w:val="24"/>
          <w:szCs w:val="24"/>
        </w:rPr>
        <w:t>April</w:t>
      </w:r>
      <w:r w:rsidR="00C50A6E" w:rsidRPr="000F5D09">
        <w:rPr>
          <w:rFonts w:eastAsia="Arial"/>
          <w:b/>
          <w:sz w:val="24"/>
          <w:szCs w:val="24"/>
        </w:rPr>
        <w:t xml:space="preserve"> </w:t>
      </w:r>
      <w:r w:rsidR="00A34A95" w:rsidRPr="000F5D09">
        <w:rPr>
          <w:rFonts w:eastAsia="Arial"/>
          <w:b/>
          <w:sz w:val="24"/>
          <w:szCs w:val="24"/>
        </w:rPr>
        <w:t>24</w:t>
      </w:r>
      <w:r w:rsidR="00E74B4F" w:rsidRPr="000F5D09">
        <w:rPr>
          <w:rFonts w:eastAsia="Arial"/>
          <w:b/>
          <w:sz w:val="24"/>
          <w:szCs w:val="24"/>
        </w:rPr>
        <w:t>, 202</w:t>
      </w:r>
      <w:r w:rsidR="00A34A95" w:rsidRPr="000F5D09">
        <w:rPr>
          <w:rFonts w:eastAsia="Arial"/>
          <w:b/>
          <w:sz w:val="24"/>
          <w:szCs w:val="24"/>
        </w:rPr>
        <w:t>5</w:t>
      </w:r>
    </w:p>
    <w:p w14:paraId="05DB5B44" w14:textId="5218BE69" w:rsidR="00CF5207" w:rsidRDefault="00CF5207" w:rsidP="001D025F">
      <w:pPr>
        <w:tabs>
          <w:tab w:val="left" w:pos="900"/>
        </w:tabs>
        <w:spacing w:before="0" w:after="240" w:line="240" w:lineRule="auto"/>
        <w:rPr>
          <w:rFonts w:eastAsia="Arial"/>
          <w:bCs/>
          <w:sz w:val="24"/>
          <w:szCs w:val="24"/>
        </w:rPr>
      </w:pPr>
      <w:r w:rsidRPr="000F5D09">
        <w:rPr>
          <w:rFonts w:eastAsia="Arial"/>
          <w:bCs/>
          <w:sz w:val="24"/>
          <w:szCs w:val="24"/>
        </w:rPr>
        <w:t xml:space="preserve">Chief Branch called for corrections, </w:t>
      </w:r>
      <w:r w:rsidR="00E104CE" w:rsidRPr="000F5D09">
        <w:rPr>
          <w:rFonts w:eastAsia="Arial"/>
          <w:bCs/>
          <w:sz w:val="24"/>
          <w:szCs w:val="24"/>
        </w:rPr>
        <w:t>deletions</w:t>
      </w:r>
      <w:r w:rsidRPr="000F5D09">
        <w:rPr>
          <w:rFonts w:eastAsia="Arial"/>
          <w:bCs/>
          <w:sz w:val="24"/>
          <w:szCs w:val="24"/>
        </w:rPr>
        <w:t xml:space="preserve">, and/or additions to the minutes from </w:t>
      </w:r>
      <w:r w:rsidR="00E104CE" w:rsidRPr="000F5D09">
        <w:rPr>
          <w:rFonts w:eastAsia="Arial"/>
          <w:bCs/>
          <w:sz w:val="24"/>
          <w:szCs w:val="24"/>
        </w:rPr>
        <w:t xml:space="preserve">the </w:t>
      </w:r>
      <w:r w:rsidR="007E6F4B" w:rsidRPr="000F5D09">
        <w:rPr>
          <w:rFonts w:eastAsia="Arial"/>
          <w:bCs/>
          <w:sz w:val="24"/>
          <w:szCs w:val="24"/>
        </w:rPr>
        <w:t xml:space="preserve">April </w:t>
      </w:r>
      <w:r w:rsidR="00A34A95" w:rsidRPr="000F5D09">
        <w:rPr>
          <w:rFonts w:eastAsia="Arial"/>
          <w:bCs/>
          <w:sz w:val="24"/>
          <w:szCs w:val="24"/>
        </w:rPr>
        <w:t>24</w:t>
      </w:r>
      <w:r w:rsidRPr="000F5D09">
        <w:rPr>
          <w:rFonts w:eastAsia="Arial"/>
          <w:bCs/>
          <w:sz w:val="24"/>
          <w:szCs w:val="24"/>
        </w:rPr>
        <w:t xml:space="preserve">, </w:t>
      </w:r>
      <w:r w:rsidR="00E104CE" w:rsidRPr="000F5D09">
        <w:rPr>
          <w:rFonts w:eastAsia="Arial"/>
          <w:bCs/>
          <w:sz w:val="24"/>
          <w:szCs w:val="24"/>
        </w:rPr>
        <w:t>202</w:t>
      </w:r>
      <w:r w:rsidR="00E87F1A" w:rsidRPr="000F5D09">
        <w:rPr>
          <w:rFonts w:eastAsia="Arial"/>
          <w:bCs/>
          <w:sz w:val="24"/>
          <w:szCs w:val="24"/>
        </w:rPr>
        <w:t>5</w:t>
      </w:r>
      <w:r w:rsidR="00E104CE" w:rsidRPr="000F5D09">
        <w:rPr>
          <w:rFonts w:eastAsia="Arial"/>
          <w:bCs/>
          <w:sz w:val="24"/>
          <w:szCs w:val="24"/>
        </w:rPr>
        <w:t xml:space="preserve">, meeting. A motion was made by </w:t>
      </w:r>
      <w:r w:rsidR="005820A8" w:rsidRPr="000F5D09">
        <w:rPr>
          <w:rFonts w:eastAsia="Arial"/>
          <w:bCs/>
          <w:sz w:val="24"/>
          <w:szCs w:val="24"/>
        </w:rPr>
        <w:t>Ms. Jankowski</w:t>
      </w:r>
      <w:r w:rsidR="00E104CE" w:rsidRPr="000F5D09">
        <w:rPr>
          <w:rFonts w:eastAsia="Arial"/>
          <w:bCs/>
          <w:sz w:val="24"/>
          <w:szCs w:val="24"/>
        </w:rPr>
        <w:t xml:space="preserve"> to approve the minutes and was </w:t>
      </w:r>
      <w:r w:rsidR="00115A93" w:rsidRPr="000F5D09">
        <w:rPr>
          <w:rFonts w:eastAsia="Arial"/>
          <w:bCs/>
          <w:sz w:val="24"/>
          <w:szCs w:val="24"/>
        </w:rPr>
        <w:t>seconded</w:t>
      </w:r>
      <w:r w:rsidR="00E104CE" w:rsidRPr="000F5D09">
        <w:rPr>
          <w:rFonts w:eastAsia="Arial"/>
          <w:bCs/>
          <w:sz w:val="24"/>
          <w:szCs w:val="24"/>
        </w:rPr>
        <w:t xml:space="preserve"> by </w:t>
      </w:r>
      <w:r w:rsidR="005820A8" w:rsidRPr="000F5D09">
        <w:rPr>
          <w:rFonts w:eastAsia="Arial"/>
          <w:bCs/>
          <w:sz w:val="24"/>
          <w:szCs w:val="24"/>
        </w:rPr>
        <w:t xml:space="preserve">Mr. </w:t>
      </w:r>
      <w:r w:rsidR="005820A8" w:rsidRPr="000F5D09">
        <w:rPr>
          <w:rFonts w:eastAsia="Arial"/>
          <w:sz w:val="24"/>
          <w:szCs w:val="24"/>
        </w:rPr>
        <w:t>McGuire</w:t>
      </w:r>
      <w:r w:rsidR="00E104CE" w:rsidRPr="000F5D09">
        <w:rPr>
          <w:rFonts w:eastAsia="Arial"/>
          <w:bCs/>
          <w:sz w:val="24"/>
          <w:szCs w:val="24"/>
        </w:rPr>
        <w:t>.</w:t>
      </w:r>
      <w:r w:rsidR="00C64747">
        <w:rPr>
          <w:rFonts w:eastAsia="Arial"/>
          <w:bCs/>
          <w:sz w:val="24"/>
          <w:szCs w:val="24"/>
        </w:rPr>
        <w:t xml:space="preserve"> The motion passed by </w:t>
      </w:r>
      <w:proofErr w:type="gramStart"/>
      <w:r w:rsidR="00C64747">
        <w:rPr>
          <w:rFonts w:eastAsia="Arial"/>
          <w:bCs/>
          <w:sz w:val="24"/>
          <w:szCs w:val="24"/>
        </w:rPr>
        <w:t>majority</w:t>
      </w:r>
      <w:proofErr w:type="gramEnd"/>
      <w:r w:rsidR="00C64747">
        <w:rPr>
          <w:rFonts w:eastAsia="Arial"/>
          <w:bCs/>
          <w:sz w:val="24"/>
          <w:szCs w:val="24"/>
        </w:rPr>
        <w:t xml:space="preserve"> vote with one abstention.</w:t>
      </w:r>
      <w:r w:rsidR="00C31116" w:rsidRPr="000F5D09">
        <w:rPr>
          <w:rFonts w:eastAsia="Arial"/>
          <w:bCs/>
          <w:sz w:val="24"/>
          <w:szCs w:val="24"/>
        </w:rPr>
        <w:t xml:space="preserve"> </w:t>
      </w:r>
    </w:p>
    <w:p w14:paraId="57D0C210" w14:textId="77777777" w:rsidR="00FA57C9" w:rsidRDefault="00FA57C9" w:rsidP="001D025F">
      <w:pPr>
        <w:pStyle w:val="ListParagraph"/>
        <w:numPr>
          <w:ilvl w:val="0"/>
          <w:numId w:val="2"/>
        </w:numPr>
        <w:tabs>
          <w:tab w:val="left" w:pos="900"/>
        </w:tabs>
        <w:spacing w:before="0" w:after="240" w:line="240" w:lineRule="auto"/>
        <w:ind w:left="0"/>
        <w:rPr>
          <w:rFonts w:eastAsia="Arial"/>
          <w:b/>
          <w:sz w:val="24"/>
          <w:szCs w:val="24"/>
        </w:rPr>
      </w:pPr>
      <w:bookmarkStart w:id="3" w:name="_Hlk145932217"/>
      <w:r w:rsidRPr="000F5D09">
        <w:rPr>
          <w:rFonts w:eastAsia="Arial"/>
          <w:b/>
          <w:sz w:val="24"/>
          <w:szCs w:val="24"/>
        </w:rPr>
        <w:lastRenderedPageBreak/>
        <w:t>Grant Approvals</w:t>
      </w:r>
    </w:p>
    <w:p w14:paraId="2FADC7ED" w14:textId="77777777" w:rsidR="006047FC" w:rsidRPr="000F5D09" w:rsidRDefault="006047FC" w:rsidP="006047FC">
      <w:pPr>
        <w:pStyle w:val="ListParagraph"/>
        <w:tabs>
          <w:tab w:val="left" w:pos="900"/>
        </w:tabs>
        <w:spacing w:before="0" w:line="240" w:lineRule="auto"/>
        <w:ind w:left="1170" w:right="360"/>
        <w:rPr>
          <w:rFonts w:eastAsia="Arial"/>
          <w:b/>
          <w:sz w:val="24"/>
          <w:szCs w:val="24"/>
        </w:rPr>
      </w:pPr>
    </w:p>
    <w:bookmarkEnd w:id="3"/>
    <w:p w14:paraId="36FCC343" w14:textId="5A8183E4" w:rsidR="001329F4" w:rsidRPr="001D3450"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1D3450">
        <w:rPr>
          <w:b/>
          <w:bCs/>
          <w:color w:val="000000"/>
          <w:sz w:val="24"/>
          <w:szCs w:val="24"/>
          <w:lang w:val="en-US"/>
        </w:rPr>
        <w:t>Firearm Violence Intervention and Prevention Fund (HVIPP New</w:t>
      </w:r>
      <w:r w:rsidR="00146494" w:rsidRPr="001D3450">
        <w:rPr>
          <w:rFonts w:eastAsia="Arial"/>
          <w:b/>
          <w:bCs/>
          <w:sz w:val="24"/>
          <w:szCs w:val="24"/>
          <w:lang w:val="en-US"/>
        </w:rPr>
        <w:t>)</w:t>
      </w:r>
    </w:p>
    <w:p w14:paraId="3141201D" w14:textId="77777777" w:rsidR="00214856" w:rsidRPr="000F5D09" w:rsidRDefault="00214856" w:rsidP="004221BF">
      <w:pPr>
        <w:tabs>
          <w:tab w:val="left" w:pos="1620"/>
          <w:tab w:val="left" w:pos="2520"/>
        </w:tabs>
        <w:spacing w:line="240" w:lineRule="auto"/>
        <w:ind w:left="360"/>
        <w:rPr>
          <w:rFonts w:eastAsia="Arial"/>
          <w:sz w:val="24"/>
          <w:szCs w:val="24"/>
          <w:lang w:val="en-US"/>
        </w:rPr>
      </w:pPr>
      <w:r w:rsidRPr="00214856">
        <w:rPr>
          <w:rFonts w:eastAsia="Arial"/>
          <w:sz w:val="24"/>
          <w:szCs w:val="24"/>
          <w:lang w:val="en-US"/>
        </w:rPr>
        <w:t>The purpose of the Hospital Violence Intervention and Prevention Program (HVIPP) funding opportunity for new projects is to support the implementation of proven strategies that will result in reducing violent crime within the Commonwealth while implementing effective and sustainable solutions to intercept and eliminate local cycles of violence. HVIPPs are multidisciplinary programs that combine the efforts of medical staff with trusted community-based partners to provide safety planning, services, and trauma-informed care to victims injured in gun violence and their families.</w:t>
      </w:r>
    </w:p>
    <w:p w14:paraId="22D826BD" w14:textId="41AD1BCA" w:rsidR="00F53A05" w:rsidRPr="00F53A05" w:rsidRDefault="00F53A05" w:rsidP="004221BF">
      <w:pPr>
        <w:tabs>
          <w:tab w:val="left" w:pos="1620"/>
          <w:tab w:val="left" w:pos="2520"/>
        </w:tabs>
        <w:spacing w:line="240" w:lineRule="auto"/>
        <w:ind w:left="360"/>
        <w:rPr>
          <w:rFonts w:eastAsia="Arial"/>
          <w:sz w:val="24"/>
          <w:szCs w:val="24"/>
          <w:lang w:val="en-US"/>
        </w:rPr>
      </w:pPr>
      <w:r w:rsidRPr="00F53A05">
        <w:rPr>
          <w:rFonts w:eastAsia="Arial"/>
          <w:sz w:val="24"/>
          <w:szCs w:val="24"/>
          <w:lang w:val="en-US"/>
        </w:rPr>
        <w:t>One (1) application is recommended for denial as it did not provide justification for the personnel and equipment line items, and although a letter of support from the hospital was attached, it did not mention the applicant.</w:t>
      </w:r>
    </w:p>
    <w:p w14:paraId="1C1701DB" w14:textId="2454543F" w:rsidR="00F53A05" w:rsidRPr="000F5D09" w:rsidRDefault="00F53A05" w:rsidP="004221BF">
      <w:pPr>
        <w:tabs>
          <w:tab w:val="left" w:pos="1620"/>
          <w:tab w:val="left" w:pos="2520"/>
        </w:tabs>
        <w:spacing w:line="240" w:lineRule="auto"/>
        <w:ind w:left="360"/>
        <w:rPr>
          <w:rFonts w:eastAsia="Arial"/>
          <w:sz w:val="24"/>
          <w:szCs w:val="24"/>
          <w:lang w:val="en-US"/>
        </w:rPr>
      </w:pPr>
      <w:r w:rsidRPr="00F53A05">
        <w:rPr>
          <w:rFonts w:eastAsia="Arial"/>
          <w:sz w:val="24"/>
          <w:szCs w:val="24"/>
          <w:lang w:val="en-US"/>
        </w:rPr>
        <w:t xml:space="preserve">Funding requested through this funding opportunity supports the expansion of HVIPP programs. </w:t>
      </w:r>
    </w:p>
    <w:p w14:paraId="33BC204E" w14:textId="165A2A57" w:rsidR="000041FA" w:rsidRPr="000041FA" w:rsidRDefault="000041FA" w:rsidP="004221BF">
      <w:pPr>
        <w:tabs>
          <w:tab w:val="left" w:pos="1620"/>
          <w:tab w:val="left" w:pos="2520"/>
        </w:tabs>
        <w:spacing w:line="240" w:lineRule="auto"/>
        <w:ind w:left="360"/>
        <w:rPr>
          <w:rFonts w:eastAsia="Arial"/>
          <w:b/>
          <w:bCs/>
          <w:sz w:val="24"/>
          <w:szCs w:val="24"/>
          <w:lang w:val="en-US"/>
        </w:rPr>
      </w:pPr>
      <w:r w:rsidRPr="000041FA">
        <w:rPr>
          <w:rFonts w:eastAsia="Arial"/>
          <w:b/>
          <w:bCs/>
          <w:sz w:val="24"/>
          <w:szCs w:val="24"/>
          <w:lang w:val="en-US"/>
        </w:rPr>
        <w:t xml:space="preserve">In summary, DCJS staff request approval to fund one (1) grant application for the 24-month period (7/1/2025-6/30/2027), totaling $3,550,675 using the Firearm Violence Intervention and Prevention funds allocated for this purpose. </w:t>
      </w:r>
    </w:p>
    <w:p w14:paraId="7B0E9CE1" w14:textId="2A053439" w:rsidR="00E104CE" w:rsidRPr="000F5D09" w:rsidRDefault="00A25699"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There was discussion on the difference between Firearm Violence and </w:t>
      </w:r>
      <w:r w:rsidR="00202F42" w:rsidRPr="000F5D09">
        <w:rPr>
          <w:rFonts w:eastAsia="Arial"/>
          <w:sz w:val="24"/>
          <w:szCs w:val="24"/>
          <w:lang w:val="en-US"/>
        </w:rPr>
        <w:t>Prevention</w:t>
      </w:r>
      <w:r w:rsidRPr="000F5D09">
        <w:rPr>
          <w:rFonts w:eastAsia="Arial"/>
          <w:sz w:val="24"/>
          <w:szCs w:val="24"/>
          <w:lang w:val="en-US"/>
        </w:rPr>
        <w:t xml:space="preserve"> Fund and </w:t>
      </w:r>
      <w:r w:rsidR="00966807" w:rsidRPr="000F5D09">
        <w:rPr>
          <w:rFonts w:eastAsia="Arial"/>
          <w:sz w:val="24"/>
          <w:szCs w:val="24"/>
          <w:lang w:val="en-US"/>
        </w:rPr>
        <w:t xml:space="preserve">the </w:t>
      </w:r>
      <w:r w:rsidR="00202F42" w:rsidRPr="000F5D09">
        <w:rPr>
          <w:rFonts w:eastAsia="Arial"/>
          <w:sz w:val="24"/>
          <w:szCs w:val="24"/>
          <w:lang w:val="en-US"/>
        </w:rPr>
        <w:t>Hospital Violence Intervention and Prevention Program. A</w:t>
      </w:r>
      <w:r w:rsidR="002F1357" w:rsidRPr="000F5D09">
        <w:rPr>
          <w:rFonts w:eastAsia="Arial"/>
          <w:sz w:val="24"/>
          <w:szCs w:val="24"/>
          <w:lang w:val="en-US"/>
        </w:rPr>
        <w:t xml:space="preserve"> motion was made by </w:t>
      </w:r>
      <w:r w:rsidR="00115A93" w:rsidRPr="000F5D09">
        <w:rPr>
          <w:rFonts w:eastAsia="Arial"/>
          <w:sz w:val="24"/>
          <w:szCs w:val="24"/>
          <w:lang w:val="en-US"/>
        </w:rPr>
        <w:t>Ms. Jankowski and seconded</w:t>
      </w:r>
      <w:r w:rsidR="002F1357" w:rsidRPr="000F5D09">
        <w:rPr>
          <w:rFonts w:eastAsia="Arial"/>
          <w:sz w:val="24"/>
          <w:szCs w:val="24"/>
          <w:lang w:val="en-US"/>
        </w:rPr>
        <w:t xml:space="preserve"> by </w:t>
      </w:r>
      <w:r w:rsidR="005820A8" w:rsidRPr="000F5D09">
        <w:rPr>
          <w:rFonts w:eastAsia="Arial"/>
          <w:sz w:val="24"/>
          <w:szCs w:val="24"/>
          <w:lang w:val="en-US"/>
        </w:rPr>
        <w:t>Mr. McGuire</w:t>
      </w:r>
      <w:r w:rsidR="002F1357" w:rsidRPr="000F5D09">
        <w:rPr>
          <w:rFonts w:eastAsia="Arial"/>
          <w:sz w:val="24"/>
          <w:szCs w:val="24"/>
          <w:lang w:val="en-US"/>
        </w:rPr>
        <w:t xml:space="preserve">. The motion passed by majority vote. Recusals are noted in the attachment to the minutes. </w:t>
      </w:r>
    </w:p>
    <w:p w14:paraId="10D75B58" w14:textId="77777777" w:rsidR="00B523AA" w:rsidRPr="000F5D09" w:rsidRDefault="00B523AA" w:rsidP="004221BF">
      <w:pPr>
        <w:tabs>
          <w:tab w:val="left" w:pos="1620"/>
          <w:tab w:val="left" w:pos="2520"/>
        </w:tabs>
        <w:spacing w:line="240" w:lineRule="auto"/>
        <w:ind w:left="360"/>
        <w:rPr>
          <w:rFonts w:eastAsia="Arial"/>
          <w:sz w:val="24"/>
          <w:szCs w:val="24"/>
          <w:lang w:val="en-US"/>
        </w:rPr>
      </w:pPr>
    </w:p>
    <w:p w14:paraId="76B919BD" w14:textId="581B5444" w:rsidR="006A6858" w:rsidRPr="006047FC"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6047FC">
        <w:rPr>
          <w:b/>
          <w:bCs/>
          <w:color w:val="000000"/>
          <w:sz w:val="24"/>
          <w:szCs w:val="24"/>
          <w:lang w:val="en-US"/>
        </w:rPr>
        <w:t>Firearm Violence Intervention and Prevention Fund (HVIPP Continuation</w:t>
      </w:r>
      <w:r w:rsidR="0012106D" w:rsidRPr="006047FC">
        <w:rPr>
          <w:rFonts w:eastAsia="Arial"/>
          <w:b/>
          <w:bCs/>
          <w:sz w:val="24"/>
          <w:szCs w:val="24"/>
          <w:lang w:val="en-US"/>
        </w:rPr>
        <w:t>)</w:t>
      </w:r>
    </w:p>
    <w:p w14:paraId="20813400" w14:textId="3EF28CB5" w:rsidR="000824A9" w:rsidRPr="000824A9" w:rsidRDefault="000824A9" w:rsidP="004221BF">
      <w:pPr>
        <w:tabs>
          <w:tab w:val="left" w:pos="1620"/>
          <w:tab w:val="left" w:pos="2520"/>
        </w:tabs>
        <w:spacing w:line="240" w:lineRule="auto"/>
        <w:ind w:left="360"/>
        <w:rPr>
          <w:rFonts w:eastAsia="Arial"/>
          <w:sz w:val="24"/>
          <w:szCs w:val="24"/>
          <w:lang w:val="en-US"/>
        </w:rPr>
      </w:pPr>
      <w:r w:rsidRPr="000824A9">
        <w:rPr>
          <w:rFonts w:eastAsia="Arial"/>
          <w:sz w:val="24"/>
          <w:szCs w:val="24"/>
          <w:lang w:val="en-US"/>
        </w:rPr>
        <w:t>The purpose of the Hospital Violence Intervention and Prevention Program (HVIPP) Continuation Grant is to improve public safety and health outcomes for victims of gun violence. The HVIPP programs serve patients with injuries from firearms, stabbing and assault, to reduce incidents of re-injury, retaliation, recidivism, and victim mortality by augmenting services and resources available to victims during and after their hospital stay.</w:t>
      </w:r>
    </w:p>
    <w:p w14:paraId="17B4AE42" w14:textId="77777777" w:rsidR="000824A9" w:rsidRPr="000824A9" w:rsidRDefault="000824A9" w:rsidP="004221BF">
      <w:pPr>
        <w:tabs>
          <w:tab w:val="left" w:pos="1620"/>
          <w:tab w:val="left" w:pos="2520"/>
        </w:tabs>
        <w:spacing w:line="240" w:lineRule="auto"/>
        <w:ind w:left="360"/>
        <w:rPr>
          <w:rFonts w:eastAsia="Arial"/>
          <w:sz w:val="24"/>
          <w:szCs w:val="24"/>
          <w:lang w:val="en-US"/>
        </w:rPr>
      </w:pPr>
      <w:r w:rsidRPr="000824A9">
        <w:rPr>
          <w:rFonts w:eastAsia="Arial"/>
          <w:sz w:val="24"/>
          <w:szCs w:val="24"/>
          <w:lang w:val="en-US"/>
        </w:rPr>
        <w:t xml:space="preserve">This solicitation invited continuation of the FY2024-2025 grant. This continuation opportunity was only open to the one organization that currently receives DCJS funding to support HVIPP projects. Further, this funding requires coordination of the establishment or enhancement of HVIPP projects in multiple hospital locations statewide. </w:t>
      </w:r>
    </w:p>
    <w:p w14:paraId="43667174" w14:textId="175F3D6F" w:rsidR="00A90934" w:rsidRDefault="00A90934"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This funding opportunity supports the continuation of the HVIPP programs currently operating in six hospitals across the Commonwealth. </w:t>
      </w:r>
    </w:p>
    <w:p w14:paraId="6B38A968" w14:textId="4450ADDB" w:rsidR="00082875" w:rsidRPr="000F5D09" w:rsidRDefault="00082875" w:rsidP="004221BF">
      <w:pPr>
        <w:tabs>
          <w:tab w:val="left" w:pos="1620"/>
          <w:tab w:val="left" w:pos="2520"/>
        </w:tabs>
        <w:spacing w:line="240" w:lineRule="auto"/>
        <w:ind w:left="360"/>
        <w:rPr>
          <w:rFonts w:eastAsia="Arial"/>
          <w:sz w:val="24"/>
          <w:szCs w:val="24"/>
          <w:lang w:val="en-US"/>
        </w:rPr>
      </w:pPr>
      <w:r>
        <w:rPr>
          <w:rFonts w:eastAsia="Arial"/>
          <w:sz w:val="24"/>
          <w:szCs w:val="24"/>
          <w:lang w:val="en-US"/>
        </w:rPr>
        <w:t>No applications were denied.</w:t>
      </w:r>
    </w:p>
    <w:p w14:paraId="5634F7EE" w14:textId="6A5C371A" w:rsidR="00A90934" w:rsidRPr="000F5D09" w:rsidRDefault="00A90934" w:rsidP="004221BF">
      <w:pPr>
        <w:tabs>
          <w:tab w:val="left" w:pos="1620"/>
          <w:tab w:val="left" w:pos="2520"/>
        </w:tabs>
        <w:spacing w:line="240" w:lineRule="auto"/>
        <w:ind w:left="360"/>
        <w:rPr>
          <w:rFonts w:eastAsia="Arial"/>
          <w:b/>
          <w:bCs/>
          <w:sz w:val="24"/>
          <w:szCs w:val="24"/>
          <w:lang w:val="en-US"/>
        </w:rPr>
      </w:pPr>
      <w:r w:rsidRPr="000F5D09">
        <w:rPr>
          <w:rFonts w:eastAsia="Arial"/>
          <w:b/>
          <w:bCs/>
          <w:sz w:val="24"/>
          <w:szCs w:val="24"/>
          <w:lang w:val="en-US"/>
        </w:rPr>
        <w:t xml:space="preserve">In summary, DCJS staff request approval to fund one (1) grant application for the 24-month period (7/1/2025-6/30/2027), totaling $5,000,000, using the Firearm Violence Intervention and Prevention funds allocated for this purpose. </w:t>
      </w:r>
    </w:p>
    <w:p w14:paraId="735D0867" w14:textId="4550F15D" w:rsidR="00891741" w:rsidRPr="000F5D09" w:rsidRDefault="006E692F"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There was a discussion </w:t>
      </w:r>
      <w:r w:rsidR="0048491A" w:rsidRPr="000F5D09">
        <w:rPr>
          <w:rFonts w:eastAsia="Arial"/>
          <w:sz w:val="24"/>
          <w:szCs w:val="24"/>
          <w:lang w:val="en-US"/>
        </w:rPr>
        <w:t>on the differenc</w:t>
      </w:r>
      <w:r w:rsidR="00FD6B60" w:rsidRPr="000F5D09">
        <w:rPr>
          <w:rFonts w:eastAsia="Arial"/>
          <w:sz w:val="24"/>
          <w:szCs w:val="24"/>
          <w:lang w:val="en-US"/>
        </w:rPr>
        <w:t xml:space="preserve">e between the New and Continuation grant funding opportunities. </w:t>
      </w:r>
      <w:r w:rsidR="00891741" w:rsidRPr="000F5D09">
        <w:rPr>
          <w:rFonts w:eastAsia="Arial"/>
          <w:sz w:val="24"/>
          <w:szCs w:val="24"/>
          <w:lang w:val="en-US"/>
        </w:rPr>
        <w:t xml:space="preserve">A motion was made by </w:t>
      </w:r>
      <w:r w:rsidR="00115A93" w:rsidRPr="000F5D09">
        <w:rPr>
          <w:rFonts w:eastAsia="Arial"/>
          <w:sz w:val="24"/>
          <w:szCs w:val="24"/>
          <w:lang w:val="en-US"/>
        </w:rPr>
        <w:t>Ms. Jankowski and seconded</w:t>
      </w:r>
      <w:r w:rsidR="00891741" w:rsidRPr="000F5D09">
        <w:rPr>
          <w:rFonts w:eastAsia="Arial"/>
          <w:sz w:val="24"/>
          <w:szCs w:val="24"/>
          <w:lang w:val="en-US"/>
        </w:rPr>
        <w:t xml:space="preserve"> by </w:t>
      </w:r>
      <w:r w:rsidR="005820A8" w:rsidRPr="000F5D09">
        <w:rPr>
          <w:rFonts w:eastAsia="Arial"/>
          <w:sz w:val="24"/>
          <w:szCs w:val="24"/>
          <w:lang w:val="en-US"/>
        </w:rPr>
        <w:t>Sheriff Hieatt</w:t>
      </w:r>
      <w:r w:rsidR="00891741" w:rsidRPr="000F5D09">
        <w:rPr>
          <w:rFonts w:eastAsia="Arial"/>
          <w:sz w:val="24"/>
          <w:szCs w:val="24"/>
          <w:lang w:val="en-US"/>
        </w:rPr>
        <w:t xml:space="preserve">. The motion passed by majority vote. Recusals are noted in the attachment to the minutes. </w:t>
      </w:r>
    </w:p>
    <w:p w14:paraId="6F1D1686" w14:textId="77777777" w:rsidR="00891741" w:rsidRPr="000F5D09" w:rsidRDefault="00891741" w:rsidP="004221BF">
      <w:pPr>
        <w:tabs>
          <w:tab w:val="left" w:pos="1620"/>
          <w:tab w:val="left" w:pos="2520"/>
        </w:tabs>
        <w:spacing w:line="240" w:lineRule="auto"/>
        <w:ind w:left="360"/>
        <w:rPr>
          <w:rFonts w:eastAsia="Arial"/>
          <w:sz w:val="24"/>
          <w:szCs w:val="24"/>
          <w:lang w:val="en-US"/>
        </w:rPr>
      </w:pPr>
    </w:p>
    <w:p w14:paraId="22D2152B" w14:textId="2F5E0022" w:rsidR="00891741" w:rsidRPr="006047FC"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6047FC">
        <w:rPr>
          <w:b/>
          <w:bCs/>
          <w:color w:val="000000"/>
          <w:sz w:val="24"/>
          <w:szCs w:val="24"/>
          <w:lang w:val="en-US"/>
        </w:rPr>
        <w:t>Comprehensive Community Corrections Act and Pretrial Services Act - Regional Jail Expansion (CCCA/PSA Jail Expansion</w:t>
      </w:r>
      <w:r w:rsidR="0012106D" w:rsidRPr="006047FC">
        <w:rPr>
          <w:rFonts w:eastAsia="Arial"/>
          <w:b/>
          <w:bCs/>
          <w:sz w:val="24"/>
          <w:szCs w:val="24"/>
          <w:lang w:val="en-US"/>
        </w:rPr>
        <w:t>)</w:t>
      </w:r>
    </w:p>
    <w:p w14:paraId="6AD6421A" w14:textId="4BF27D6F" w:rsidR="003B23F4" w:rsidRPr="003B23F4" w:rsidRDefault="003B23F4" w:rsidP="00143FFE">
      <w:pPr>
        <w:tabs>
          <w:tab w:val="left" w:pos="1620"/>
          <w:tab w:val="left" w:pos="2520"/>
        </w:tabs>
        <w:spacing w:line="240" w:lineRule="auto"/>
        <w:ind w:left="360"/>
        <w:rPr>
          <w:rFonts w:eastAsia="Arial"/>
          <w:sz w:val="24"/>
          <w:szCs w:val="24"/>
          <w:lang w:val="en-US"/>
        </w:rPr>
      </w:pPr>
      <w:r w:rsidRPr="00143FFE">
        <w:rPr>
          <w:rFonts w:eastAsia="Arial"/>
          <w:sz w:val="24"/>
          <w:szCs w:val="24"/>
          <w:lang w:val="en-US"/>
        </w:rPr>
        <w:t>The purpose of Pretrial Jail Expansion Earmarked Funding</w:t>
      </w:r>
      <w:r w:rsidRPr="003B23F4">
        <w:rPr>
          <w:rFonts w:eastAsia="Arial"/>
          <w:sz w:val="24"/>
          <w:szCs w:val="24"/>
          <w:lang w:val="en-US"/>
        </w:rPr>
        <w:t xml:space="preserve"> Opportunity is to support expanded Comprehensive Community Corrections and Pretrial Services Act (CCCA/PSA) Programs for localities belonging to the Central Virginia Regional Jail Authority and the Southwest Virginia Regional Jail Authority. Programs are established and operated under the authority of the Comprehensive Community-Corrections Act for Local Responsible Offenders (CCCA, § 9.1-173) and the Pretrial Services Act (PSA, § 19.2-152.2) of the </w:t>
      </w:r>
      <w:r w:rsidRPr="003B23F4">
        <w:rPr>
          <w:rFonts w:eastAsia="Arial"/>
          <w:i/>
          <w:iCs/>
          <w:sz w:val="24"/>
          <w:szCs w:val="24"/>
          <w:lang w:val="en-US"/>
        </w:rPr>
        <w:t xml:space="preserve">Code of Virginia. </w:t>
      </w:r>
    </w:p>
    <w:p w14:paraId="658E4998" w14:textId="77777777" w:rsidR="003B23F4" w:rsidRPr="000F5D09" w:rsidRDefault="003B23F4"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Award amounts are designated in the Appropriation Act and reflect 75% of the costs projected for expanded services in the community-based correction plan submitted by each Authority at the time of their jail expansion. In accordance with the Appropriation Act, the localities are required to provide the remaining 25% as a condition of receiving these funds.</w:t>
      </w:r>
    </w:p>
    <w:p w14:paraId="20850125" w14:textId="3F7D249B" w:rsidR="00B523AA" w:rsidRPr="00B523AA" w:rsidRDefault="00B523AA" w:rsidP="004221BF">
      <w:pPr>
        <w:tabs>
          <w:tab w:val="left" w:pos="1620"/>
          <w:tab w:val="left" w:pos="2520"/>
        </w:tabs>
        <w:spacing w:line="240" w:lineRule="auto"/>
        <w:ind w:left="360"/>
        <w:rPr>
          <w:rFonts w:eastAsia="Arial"/>
          <w:sz w:val="24"/>
          <w:szCs w:val="24"/>
          <w:lang w:val="en-US"/>
        </w:rPr>
      </w:pPr>
      <w:r w:rsidRPr="00B523AA">
        <w:rPr>
          <w:rFonts w:eastAsia="Arial"/>
          <w:sz w:val="24"/>
          <w:szCs w:val="24"/>
          <w:lang w:val="en-US"/>
        </w:rPr>
        <w:t>No applications were denied.</w:t>
      </w:r>
    </w:p>
    <w:p w14:paraId="20296CCB" w14:textId="6CF5C396" w:rsidR="00B523AA" w:rsidRPr="00B523AA" w:rsidRDefault="00B523AA" w:rsidP="004221BF">
      <w:pPr>
        <w:tabs>
          <w:tab w:val="left" w:pos="1620"/>
          <w:tab w:val="left" w:pos="2520"/>
        </w:tabs>
        <w:spacing w:line="240" w:lineRule="auto"/>
        <w:ind w:left="360"/>
        <w:rPr>
          <w:rFonts w:eastAsia="Arial"/>
          <w:sz w:val="24"/>
          <w:szCs w:val="24"/>
          <w:lang w:val="en-US"/>
        </w:rPr>
      </w:pPr>
      <w:r w:rsidRPr="00B523AA">
        <w:rPr>
          <w:rFonts w:eastAsia="Arial"/>
          <w:sz w:val="24"/>
          <w:szCs w:val="24"/>
          <w:lang w:val="en-US"/>
        </w:rPr>
        <w:t>These funds are proposed to be expended on salaries and fringe benefits of sworn pretrial officers, office supplies, VCIN software, drug testing supplies, rent for office space, and telephone costs for operations.</w:t>
      </w:r>
    </w:p>
    <w:p w14:paraId="04D2AD77" w14:textId="4713AEB8" w:rsidR="003B23F4" w:rsidRPr="000F5D09" w:rsidRDefault="00B523AA" w:rsidP="004221BF">
      <w:pPr>
        <w:tabs>
          <w:tab w:val="left" w:pos="1620"/>
          <w:tab w:val="left" w:pos="2520"/>
        </w:tabs>
        <w:spacing w:line="240" w:lineRule="auto"/>
        <w:ind w:left="360"/>
        <w:rPr>
          <w:rFonts w:eastAsia="Arial"/>
          <w:b/>
          <w:bCs/>
          <w:sz w:val="24"/>
          <w:szCs w:val="24"/>
          <w:lang w:val="en-US"/>
        </w:rPr>
      </w:pPr>
      <w:r w:rsidRPr="00B523AA">
        <w:rPr>
          <w:rFonts w:eastAsia="Arial"/>
          <w:b/>
          <w:bCs/>
          <w:sz w:val="24"/>
          <w:szCs w:val="24"/>
          <w:lang w:val="en-US"/>
        </w:rPr>
        <w:t xml:space="preserve">In summary, DCJS staff request approval to fund two (2) grant applications for the 12-month period (7/1/2025-6/30/2026) totaling $1,100,000, using $825,000 in state general funds allocated for this purpose and $275,000 in subrecipient match contribution. </w:t>
      </w:r>
    </w:p>
    <w:p w14:paraId="1257652D" w14:textId="1EAA42D5" w:rsidR="00891741" w:rsidRPr="000F5D09" w:rsidRDefault="00202F42"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There was discussion</w:t>
      </w:r>
      <w:r w:rsidR="00F9590C" w:rsidRPr="000F5D09">
        <w:rPr>
          <w:rFonts w:eastAsia="Arial"/>
          <w:sz w:val="24"/>
          <w:szCs w:val="24"/>
          <w:lang w:val="en-US"/>
        </w:rPr>
        <w:t xml:space="preserve"> on the eligibility of the applicants and the requested amounts based on the Appropriation Act. </w:t>
      </w:r>
      <w:r w:rsidR="00891741" w:rsidRPr="000F5D09">
        <w:rPr>
          <w:rFonts w:eastAsia="Arial"/>
          <w:sz w:val="24"/>
          <w:szCs w:val="24"/>
          <w:lang w:val="en-US"/>
        </w:rPr>
        <w:t xml:space="preserve">A motion was made by </w:t>
      </w:r>
      <w:r w:rsidR="00115A93" w:rsidRPr="000F5D09">
        <w:rPr>
          <w:rFonts w:eastAsia="Arial"/>
          <w:sz w:val="24"/>
          <w:szCs w:val="24"/>
          <w:lang w:val="en-US"/>
        </w:rPr>
        <w:t>Mr. McGuire and seconded</w:t>
      </w:r>
      <w:r w:rsidR="00891741" w:rsidRPr="000F5D09">
        <w:rPr>
          <w:rFonts w:eastAsia="Arial"/>
          <w:sz w:val="24"/>
          <w:szCs w:val="24"/>
          <w:lang w:val="en-US"/>
        </w:rPr>
        <w:t xml:space="preserve"> by </w:t>
      </w:r>
      <w:r w:rsidR="005820A8" w:rsidRPr="000F5D09">
        <w:rPr>
          <w:rFonts w:eastAsia="Arial"/>
          <w:sz w:val="24"/>
          <w:szCs w:val="24"/>
          <w:lang w:val="en-US"/>
        </w:rPr>
        <w:t>Ms. Jankowski</w:t>
      </w:r>
      <w:r w:rsidR="00891741" w:rsidRPr="000F5D09">
        <w:rPr>
          <w:rFonts w:eastAsia="Arial"/>
          <w:sz w:val="24"/>
          <w:szCs w:val="24"/>
          <w:lang w:val="en-US"/>
        </w:rPr>
        <w:t xml:space="preserve">. The motion passed by majority vote. Recusals are noted in the attachment to the minutes. </w:t>
      </w:r>
    </w:p>
    <w:p w14:paraId="207768DF" w14:textId="77777777" w:rsidR="00B523AA" w:rsidRPr="000F5D09" w:rsidRDefault="00B523AA" w:rsidP="004221BF">
      <w:pPr>
        <w:tabs>
          <w:tab w:val="left" w:pos="1620"/>
          <w:tab w:val="left" w:pos="2520"/>
        </w:tabs>
        <w:spacing w:line="240" w:lineRule="auto"/>
        <w:ind w:left="360"/>
        <w:rPr>
          <w:rFonts w:eastAsia="Arial"/>
          <w:sz w:val="24"/>
          <w:szCs w:val="24"/>
          <w:lang w:val="en-US"/>
        </w:rPr>
      </w:pPr>
    </w:p>
    <w:p w14:paraId="3594E8C6" w14:textId="384C6EA6" w:rsidR="004124DA" w:rsidRPr="006047FC"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6047FC">
        <w:rPr>
          <w:b/>
          <w:bCs/>
          <w:color w:val="000000"/>
          <w:sz w:val="24"/>
          <w:szCs w:val="24"/>
          <w:lang w:val="en-US"/>
        </w:rPr>
        <w:t>Comprehensive Community Corrections Act and Pretrial Services Act (CCCA/PSA</w:t>
      </w:r>
      <w:r w:rsidR="00146494" w:rsidRPr="006047FC">
        <w:rPr>
          <w:rFonts w:eastAsia="Arial"/>
          <w:b/>
          <w:bCs/>
          <w:sz w:val="24"/>
          <w:szCs w:val="24"/>
          <w:lang w:val="en-US"/>
        </w:rPr>
        <w:t>)</w:t>
      </w:r>
    </w:p>
    <w:p w14:paraId="3919D4B5" w14:textId="14D70742" w:rsidR="0072680A" w:rsidRPr="0072680A" w:rsidRDefault="0072680A" w:rsidP="004221BF">
      <w:pPr>
        <w:tabs>
          <w:tab w:val="left" w:pos="1620"/>
          <w:tab w:val="left" w:pos="2520"/>
        </w:tabs>
        <w:spacing w:line="240" w:lineRule="auto"/>
        <w:ind w:left="360"/>
        <w:rPr>
          <w:rFonts w:eastAsia="Arial"/>
          <w:i/>
          <w:iCs/>
          <w:sz w:val="24"/>
          <w:szCs w:val="24"/>
          <w:lang w:val="en-US"/>
        </w:rPr>
      </w:pPr>
      <w:r w:rsidRPr="0072680A">
        <w:rPr>
          <w:rFonts w:eastAsia="Arial"/>
          <w:sz w:val="24"/>
          <w:szCs w:val="24"/>
          <w:lang w:val="en-US"/>
        </w:rPr>
        <w:t xml:space="preserve">The purpose of the CCCA/PSA funding opportunity is to support local community-based probation and pretrial services agencies established and operating under the authority of the Comprehensive Community Corrections Act for Local-Responsible Officers (CCCA) and the Pretrial Services Act (PSA), as specified in the </w:t>
      </w:r>
      <w:r w:rsidRPr="0072680A">
        <w:rPr>
          <w:rFonts w:eastAsia="Arial"/>
          <w:i/>
          <w:iCs/>
          <w:sz w:val="24"/>
          <w:szCs w:val="24"/>
          <w:lang w:val="en-US"/>
        </w:rPr>
        <w:t>Code of Virginia</w:t>
      </w:r>
      <w:r w:rsidRPr="0072680A">
        <w:rPr>
          <w:rFonts w:eastAsia="Arial"/>
          <w:sz w:val="24"/>
          <w:szCs w:val="24"/>
          <w:lang w:val="en-US"/>
        </w:rPr>
        <w:t xml:space="preserve">. Funding is open to existing agencies meeting the requirements set forth in the </w:t>
      </w:r>
      <w:r w:rsidRPr="0072680A">
        <w:rPr>
          <w:rFonts w:eastAsia="Arial"/>
          <w:i/>
          <w:iCs/>
          <w:sz w:val="24"/>
          <w:szCs w:val="24"/>
          <w:lang w:val="en-US"/>
        </w:rPr>
        <w:t>Code.</w:t>
      </w:r>
    </w:p>
    <w:p w14:paraId="7A7041A1" w14:textId="433BDA60" w:rsidR="0072680A" w:rsidRPr="0072680A" w:rsidRDefault="0072680A" w:rsidP="004221BF">
      <w:pPr>
        <w:tabs>
          <w:tab w:val="left" w:pos="1620"/>
          <w:tab w:val="left" w:pos="2520"/>
        </w:tabs>
        <w:spacing w:line="240" w:lineRule="auto"/>
        <w:ind w:left="360"/>
        <w:rPr>
          <w:rFonts w:eastAsia="Arial"/>
          <w:sz w:val="24"/>
          <w:szCs w:val="24"/>
          <w:lang w:val="en-US"/>
        </w:rPr>
      </w:pPr>
      <w:r w:rsidRPr="0072680A">
        <w:rPr>
          <w:rFonts w:eastAsia="Arial"/>
          <w:sz w:val="24"/>
          <w:szCs w:val="24"/>
          <w:lang w:val="en-US"/>
        </w:rPr>
        <w:t>The CCCA authorizes the creation of local, community-based probation agencies. First established in 1995, these agencies provide a sentencing option for courts to use for individuals convicted of certain misdemeanors or non-violent felonies for which sentences would be 12 months or less in a local or regional jail. Local community-based probation agencies provide services or referrals to services to include community service, assessment, education and/or treatment, and substance abuse testing.</w:t>
      </w:r>
    </w:p>
    <w:p w14:paraId="3F92B500" w14:textId="045EAE98" w:rsidR="0072680A" w:rsidRPr="0072680A" w:rsidRDefault="0072680A" w:rsidP="004221BF">
      <w:pPr>
        <w:tabs>
          <w:tab w:val="left" w:pos="1620"/>
          <w:tab w:val="left" w:pos="2520"/>
        </w:tabs>
        <w:spacing w:line="240" w:lineRule="auto"/>
        <w:ind w:left="360"/>
        <w:rPr>
          <w:rFonts w:eastAsia="Arial"/>
          <w:sz w:val="24"/>
          <w:szCs w:val="24"/>
          <w:lang w:val="en-US"/>
        </w:rPr>
      </w:pPr>
      <w:r w:rsidRPr="0072680A">
        <w:rPr>
          <w:rFonts w:eastAsia="Arial"/>
          <w:sz w:val="24"/>
          <w:szCs w:val="24"/>
          <w:lang w:val="en-US"/>
        </w:rPr>
        <w:t>Pretrial services agencies were first created in Virginia in 1989, pursuant to authorizing language in the Appropriation Act. In 1995, pretrial services agencies were authorized by statute with the passage of the PSA. Pretrial services agencies provide information, to include risk of failure to appear for court hearings and risk to public safety, to judicial officers (judges and magistrates) to help them make release decisions.</w:t>
      </w:r>
      <w:r w:rsidR="00C73A1F">
        <w:rPr>
          <w:rFonts w:eastAsia="Arial"/>
          <w:sz w:val="24"/>
          <w:szCs w:val="24"/>
          <w:lang w:val="en-US"/>
        </w:rPr>
        <w:t xml:space="preserve"> </w:t>
      </w:r>
      <w:r w:rsidRPr="0072680A">
        <w:rPr>
          <w:rFonts w:eastAsia="Arial"/>
          <w:sz w:val="24"/>
          <w:szCs w:val="24"/>
          <w:lang w:val="en-US"/>
        </w:rPr>
        <w:t xml:space="preserve">Pretrial services agencies also </w:t>
      </w:r>
      <w:r w:rsidRPr="0072680A">
        <w:rPr>
          <w:rFonts w:eastAsia="Arial"/>
          <w:sz w:val="24"/>
          <w:szCs w:val="24"/>
          <w:lang w:val="en-US"/>
        </w:rPr>
        <w:lastRenderedPageBreak/>
        <w:t>supervise those released to the community and ordered to pretrial supervision pending trial.</w:t>
      </w:r>
      <w:r w:rsidR="00C73A1F">
        <w:rPr>
          <w:rFonts w:eastAsia="Arial"/>
          <w:sz w:val="24"/>
          <w:szCs w:val="24"/>
          <w:lang w:val="en-US"/>
        </w:rPr>
        <w:t xml:space="preserve"> </w:t>
      </w:r>
      <w:r w:rsidRPr="0072680A">
        <w:rPr>
          <w:rFonts w:eastAsia="Arial"/>
          <w:sz w:val="24"/>
          <w:szCs w:val="24"/>
          <w:lang w:val="en-US"/>
        </w:rPr>
        <w:t>Pretrial services assist court-ordered individuals in meeting the conditions of their bail, such as compliance with substance abuse testing and electronic monitoring.</w:t>
      </w:r>
      <w:r w:rsidR="00C73A1F">
        <w:rPr>
          <w:rFonts w:eastAsia="Arial"/>
          <w:sz w:val="24"/>
          <w:szCs w:val="24"/>
          <w:lang w:val="en-US"/>
        </w:rPr>
        <w:t xml:space="preserve"> </w:t>
      </w:r>
      <w:r w:rsidRPr="0072680A">
        <w:rPr>
          <w:rFonts w:eastAsia="Arial"/>
          <w:sz w:val="24"/>
          <w:szCs w:val="24"/>
          <w:lang w:val="en-US"/>
        </w:rPr>
        <w:t xml:space="preserve"> </w:t>
      </w:r>
    </w:p>
    <w:p w14:paraId="2062C2EF" w14:textId="2200E74C" w:rsidR="00AF4EF9" w:rsidRPr="00AF4EF9" w:rsidRDefault="00AF4EF9" w:rsidP="004221BF">
      <w:pPr>
        <w:tabs>
          <w:tab w:val="left" w:pos="1620"/>
          <w:tab w:val="left" w:pos="2520"/>
        </w:tabs>
        <w:spacing w:line="240" w:lineRule="auto"/>
        <w:ind w:left="360"/>
        <w:rPr>
          <w:rFonts w:eastAsia="Arial"/>
          <w:sz w:val="24"/>
          <w:szCs w:val="24"/>
          <w:lang w:val="en-US"/>
        </w:rPr>
      </w:pPr>
      <w:r w:rsidRPr="00AF4EF9">
        <w:rPr>
          <w:rFonts w:eastAsia="Arial"/>
          <w:sz w:val="24"/>
          <w:szCs w:val="24"/>
          <w:lang w:val="en-US"/>
        </w:rPr>
        <w:t>There were no applications denied. Funding recommendations account for the base award from FY2025, plus increases accounting for need and available funding, as well as bonuses and raises directed through the Appropriation Act for state funded local employees.</w:t>
      </w:r>
    </w:p>
    <w:p w14:paraId="458770F6" w14:textId="4AAD1C29" w:rsidR="00AF4EF9" w:rsidRPr="00AF4EF9" w:rsidRDefault="00AF4EF9" w:rsidP="00143FFE">
      <w:pPr>
        <w:tabs>
          <w:tab w:val="left" w:pos="1620"/>
          <w:tab w:val="left" w:pos="2520"/>
        </w:tabs>
        <w:spacing w:line="240" w:lineRule="auto"/>
        <w:ind w:left="360"/>
        <w:rPr>
          <w:rFonts w:eastAsia="Arial"/>
          <w:sz w:val="24"/>
          <w:szCs w:val="24"/>
          <w:lang w:val="en-US"/>
        </w:rPr>
      </w:pPr>
      <w:r w:rsidRPr="00AF4EF9">
        <w:rPr>
          <w:rFonts w:eastAsia="Arial"/>
          <w:sz w:val="24"/>
          <w:szCs w:val="24"/>
          <w:lang w:val="en-US"/>
        </w:rPr>
        <w:t>Grant awards are primarily for the salaries and fringe benefits of sworn pretrial and local probation officers. Additional expenses include office supplies, VCIN software, drug testing materials, office space rent, telephone service for operations, and memberships or professional trainings for staff.</w:t>
      </w:r>
    </w:p>
    <w:p w14:paraId="5F67F473" w14:textId="5B5800BE" w:rsidR="004124DA" w:rsidRPr="000F5D09" w:rsidRDefault="00AF4EF9" w:rsidP="004221BF">
      <w:pPr>
        <w:tabs>
          <w:tab w:val="left" w:pos="1620"/>
          <w:tab w:val="left" w:pos="2520"/>
        </w:tabs>
        <w:spacing w:line="240" w:lineRule="auto"/>
        <w:ind w:left="360"/>
        <w:rPr>
          <w:rFonts w:eastAsia="Arial"/>
          <w:b/>
          <w:bCs/>
          <w:sz w:val="24"/>
          <w:szCs w:val="24"/>
          <w:lang w:val="en-US"/>
        </w:rPr>
      </w:pPr>
      <w:r w:rsidRPr="00AF4EF9">
        <w:rPr>
          <w:rFonts w:eastAsia="Arial"/>
          <w:b/>
          <w:bCs/>
          <w:sz w:val="24"/>
          <w:szCs w:val="24"/>
          <w:lang w:val="en-US"/>
        </w:rPr>
        <w:t xml:space="preserve">In summary, DCJS staff request approval to fund 37 grant applications for the 12-month period (7/1/2025-6/30/2026), totaling $33,032,615 using state general funds allocated for this purpose. </w:t>
      </w:r>
    </w:p>
    <w:p w14:paraId="19DA87C6" w14:textId="1D181C8C" w:rsidR="00891741" w:rsidRDefault="00891741"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A motion was made by </w:t>
      </w:r>
      <w:r w:rsidR="00115A93" w:rsidRPr="000F5D09">
        <w:rPr>
          <w:rFonts w:eastAsia="Arial"/>
          <w:sz w:val="24"/>
          <w:szCs w:val="24"/>
          <w:lang w:val="en-US"/>
        </w:rPr>
        <w:t>Sheriff Hieatt and seconded</w:t>
      </w:r>
      <w:r w:rsidRPr="000F5D09">
        <w:rPr>
          <w:rFonts w:eastAsia="Arial"/>
          <w:sz w:val="24"/>
          <w:szCs w:val="24"/>
          <w:lang w:val="en-US"/>
        </w:rPr>
        <w:t xml:space="preserve"> by </w:t>
      </w:r>
      <w:r w:rsidR="005820A8" w:rsidRPr="000F5D09">
        <w:rPr>
          <w:rFonts w:eastAsia="Arial"/>
          <w:sz w:val="24"/>
          <w:szCs w:val="24"/>
          <w:lang w:val="en-US"/>
        </w:rPr>
        <w:t>Ms. Clark</w:t>
      </w:r>
      <w:r w:rsidRPr="000F5D09">
        <w:rPr>
          <w:rFonts w:eastAsia="Arial"/>
          <w:sz w:val="24"/>
          <w:szCs w:val="24"/>
          <w:lang w:val="en-US"/>
        </w:rPr>
        <w:t xml:space="preserve">. The motion passed by majority vote. Recusals are noted in the attachment to the minutes. </w:t>
      </w:r>
    </w:p>
    <w:p w14:paraId="18376A81" w14:textId="77777777" w:rsidR="00143FFE" w:rsidRPr="000F5D09" w:rsidRDefault="00143FFE" w:rsidP="004221BF">
      <w:pPr>
        <w:tabs>
          <w:tab w:val="left" w:pos="1620"/>
          <w:tab w:val="left" w:pos="2520"/>
        </w:tabs>
        <w:spacing w:line="240" w:lineRule="auto"/>
        <w:ind w:left="360"/>
        <w:rPr>
          <w:rFonts w:eastAsia="Arial"/>
          <w:sz w:val="24"/>
          <w:szCs w:val="24"/>
          <w:lang w:val="en-US"/>
        </w:rPr>
      </w:pPr>
    </w:p>
    <w:p w14:paraId="31DD17FA" w14:textId="3739AB02" w:rsidR="00813B30" w:rsidRPr="006047FC"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6047FC">
        <w:rPr>
          <w:b/>
          <w:bCs/>
          <w:color w:val="000000"/>
          <w:sz w:val="24"/>
          <w:szCs w:val="24"/>
          <w:lang w:val="en-US"/>
        </w:rPr>
        <w:t>Jail Substance Use Treatment (JSUT</w:t>
      </w:r>
      <w:r w:rsidRPr="006047FC">
        <w:rPr>
          <w:rFonts w:eastAsia="Arial"/>
          <w:b/>
          <w:bCs/>
          <w:sz w:val="24"/>
          <w:szCs w:val="24"/>
          <w:lang w:val="en-US"/>
        </w:rPr>
        <w:t>)</w:t>
      </w:r>
    </w:p>
    <w:p w14:paraId="3AB1981C" w14:textId="6094BE1D" w:rsidR="0035296D" w:rsidRPr="000F5D09" w:rsidRDefault="0035296D" w:rsidP="004221BF">
      <w:pPr>
        <w:tabs>
          <w:tab w:val="left" w:pos="1620"/>
          <w:tab w:val="left" w:pos="2520"/>
        </w:tabs>
        <w:spacing w:line="240" w:lineRule="auto"/>
        <w:ind w:left="360"/>
        <w:rPr>
          <w:rFonts w:eastAsia="Arial"/>
          <w:sz w:val="24"/>
          <w:szCs w:val="24"/>
        </w:rPr>
      </w:pPr>
      <w:r w:rsidRPr="000F5D09">
        <w:rPr>
          <w:rFonts w:eastAsia="Arial"/>
          <w:sz w:val="24"/>
          <w:szCs w:val="24"/>
        </w:rPr>
        <w:t>The purpose of the Jail-Based Substance Use Disorder (SUD) Treatment and Transition Grant Program is to increase access to substance use disorder treatment and transitional services for individuals incarcerated in local and regional jails in Virginia. Funded programs may include medication assisted treatment therapies, addiction recovery and other substance use disorder services, reentry and transitional support, or a combination of these services. This program is currently funded by the 2024 Appropriation Act, which includes the remaining amount of $498,486 available for award from the Commonwealth Opioid Abatement and Remediation Fund.</w:t>
      </w:r>
      <w:r w:rsidR="00C73A1F">
        <w:rPr>
          <w:rFonts w:eastAsia="Arial"/>
          <w:sz w:val="24"/>
          <w:szCs w:val="24"/>
        </w:rPr>
        <w:t xml:space="preserve"> </w:t>
      </w:r>
    </w:p>
    <w:p w14:paraId="339C0146" w14:textId="69252C6E" w:rsidR="00340C34" w:rsidRPr="00340C34" w:rsidRDefault="00340C34" w:rsidP="004221BF">
      <w:pPr>
        <w:tabs>
          <w:tab w:val="left" w:pos="1620"/>
          <w:tab w:val="left" w:pos="2520"/>
        </w:tabs>
        <w:spacing w:line="240" w:lineRule="auto"/>
        <w:ind w:left="360"/>
        <w:rPr>
          <w:rFonts w:eastAsia="Arial"/>
          <w:sz w:val="24"/>
          <w:szCs w:val="24"/>
          <w:lang w:val="en-US"/>
        </w:rPr>
      </w:pPr>
      <w:r w:rsidRPr="00340C34">
        <w:rPr>
          <w:rFonts w:eastAsia="Arial"/>
          <w:sz w:val="24"/>
          <w:szCs w:val="24"/>
          <w:lang w:val="en-US"/>
        </w:rPr>
        <w:t>Two (2) applications were denied due to ineligibility, as these programs are already receiving Jail-Based SUD Treatment and Transition Grant Program funding. All applications were reduced because the funding requested exceeded the total funds available.</w:t>
      </w:r>
    </w:p>
    <w:p w14:paraId="5734B516" w14:textId="38985D73" w:rsidR="00340C34" w:rsidRPr="00340C34" w:rsidRDefault="00340C34" w:rsidP="004221BF">
      <w:pPr>
        <w:tabs>
          <w:tab w:val="left" w:pos="1620"/>
          <w:tab w:val="left" w:pos="2520"/>
        </w:tabs>
        <w:spacing w:line="240" w:lineRule="auto"/>
        <w:ind w:left="360"/>
        <w:rPr>
          <w:rFonts w:eastAsia="Arial"/>
          <w:sz w:val="24"/>
          <w:szCs w:val="24"/>
          <w:lang w:val="en-US"/>
        </w:rPr>
      </w:pPr>
      <w:proofErr w:type="gramStart"/>
      <w:r w:rsidRPr="00340C34">
        <w:rPr>
          <w:rFonts w:eastAsia="Arial"/>
          <w:sz w:val="24"/>
          <w:szCs w:val="24"/>
          <w:lang w:val="en-US"/>
        </w:rPr>
        <w:t>The majority of</w:t>
      </w:r>
      <w:proofErr w:type="gramEnd"/>
      <w:r w:rsidRPr="00340C34">
        <w:rPr>
          <w:rFonts w:eastAsia="Arial"/>
          <w:sz w:val="24"/>
          <w:szCs w:val="24"/>
          <w:lang w:val="en-US"/>
        </w:rPr>
        <w:t xml:space="preserve"> applicant funding requests were allocated towards Personnel, Consultants, Medication Assisted Treatment (MAT) resources, and Supplies and Other Expenses needed to successfully implement and carry out grant activities. Funding requests include Community Services Board (CSB) consultant expenses, reentry and peer support specialists, SUD medications, group materials, evidence-based practices training for project staff, and program supplies. </w:t>
      </w:r>
    </w:p>
    <w:p w14:paraId="10C36EE1" w14:textId="465283ED" w:rsidR="0035296D" w:rsidRPr="000F5D09" w:rsidRDefault="00340C34" w:rsidP="004221BF">
      <w:pPr>
        <w:tabs>
          <w:tab w:val="left" w:pos="1620"/>
          <w:tab w:val="left" w:pos="2520"/>
        </w:tabs>
        <w:spacing w:line="240" w:lineRule="auto"/>
        <w:ind w:left="360"/>
        <w:rPr>
          <w:rFonts w:eastAsia="Arial"/>
          <w:b/>
          <w:bCs/>
          <w:sz w:val="24"/>
          <w:szCs w:val="24"/>
          <w:lang w:val="en-US"/>
        </w:rPr>
      </w:pPr>
      <w:r w:rsidRPr="00340C34">
        <w:rPr>
          <w:rFonts w:eastAsia="Arial"/>
          <w:b/>
          <w:bCs/>
          <w:sz w:val="24"/>
          <w:szCs w:val="24"/>
          <w:lang w:val="en-US"/>
        </w:rPr>
        <w:t xml:space="preserve">In summary, DCJS staff request approval to fund five (5) grant applications for the 36-month period (7/1/2025-6/30/2028), totaling $498,486 using state special funds allocated for this purpose. </w:t>
      </w:r>
    </w:p>
    <w:p w14:paraId="09ED96FC" w14:textId="5E36E965" w:rsidR="00813B30" w:rsidRPr="000F5D09" w:rsidRDefault="0010281A"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There was discussion </w:t>
      </w:r>
      <w:r w:rsidR="00DF6651" w:rsidRPr="000F5D09">
        <w:rPr>
          <w:rFonts w:eastAsia="Arial"/>
          <w:sz w:val="24"/>
          <w:szCs w:val="24"/>
          <w:lang w:val="en-US"/>
        </w:rPr>
        <w:t xml:space="preserve">about the </w:t>
      </w:r>
      <w:r w:rsidR="009E6B58" w:rsidRPr="000F5D09">
        <w:rPr>
          <w:rFonts w:eastAsia="Arial"/>
          <w:sz w:val="24"/>
          <w:szCs w:val="24"/>
          <w:lang w:val="en-US"/>
        </w:rPr>
        <w:t xml:space="preserve">funding available for this funding opportunity. </w:t>
      </w:r>
      <w:r w:rsidR="00813B30" w:rsidRPr="000F5D09">
        <w:rPr>
          <w:rFonts w:eastAsia="Arial"/>
          <w:sz w:val="24"/>
          <w:szCs w:val="24"/>
          <w:lang w:val="en-US"/>
        </w:rPr>
        <w:t xml:space="preserve">A motion was made by </w:t>
      </w:r>
      <w:r w:rsidR="00115A93" w:rsidRPr="000F5D09">
        <w:rPr>
          <w:rFonts w:eastAsia="Arial"/>
          <w:sz w:val="24"/>
          <w:szCs w:val="24"/>
          <w:lang w:val="en-US"/>
        </w:rPr>
        <w:t>Ms. Jankowski and seconded</w:t>
      </w:r>
      <w:r w:rsidR="00813B30" w:rsidRPr="000F5D09">
        <w:rPr>
          <w:rFonts w:eastAsia="Arial"/>
          <w:sz w:val="24"/>
          <w:szCs w:val="24"/>
          <w:lang w:val="en-US"/>
        </w:rPr>
        <w:t xml:space="preserve"> by </w:t>
      </w:r>
      <w:r w:rsidR="005820A8" w:rsidRPr="000F5D09">
        <w:rPr>
          <w:rFonts w:eastAsia="Arial"/>
          <w:sz w:val="24"/>
          <w:szCs w:val="24"/>
          <w:lang w:val="en-US"/>
        </w:rPr>
        <w:t>Sheriff Hieatt</w:t>
      </w:r>
      <w:r w:rsidR="00813B30" w:rsidRPr="000F5D09">
        <w:rPr>
          <w:rFonts w:eastAsia="Arial"/>
          <w:sz w:val="24"/>
          <w:szCs w:val="24"/>
          <w:lang w:val="en-US"/>
        </w:rPr>
        <w:t xml:space="preserve">. The motion passed by majority vote. Recusals are noted in the attachment to the minutes. </w:t>
      </w:r>
    </w:p>
    <w:p w14:paraId="087AC814" w14:textId="77777777" w:rsidR="00340C34" w:rsidRDefault="00340C34" w:rsidP="004221BF">
      <w:pPr>
        <w:tabs>
          <w:tab w:val="left" w:pos="1620"/>
          <w:tab w:val="left" w:pos="2520"/>
        </w:tabs>
        <w:spacing w:line="240" w:lineRule="auto"/>
        <w:ind w:left="360"/>
        <w:rPr>
          <w:rFonts w:eastAsia="Arial"/>
          <w:sz w:val="24"/>
          <w:szCs w:val="24"/>
          <w:lang w:val="en-US"/>
        </w:rPr>
      </w:pPr>
    </w:p>
    <w:p w14:paraId="7AE34F51" w14:textId="77777777" w:rsidR="00AC2C2B" w:rsidRPr="000F5D09" w:rsidRDefault="00AC2C2B" w:rsidP="004221BF">
      <w:pPr>
        <w:tabs>
          <w:tab w:val="left" w:pos="1620"/>
          <w:tab w:val="left" w:pos="2520"/>
        </w:tabs>
        <w:spacing w:line="240" w:lineRule="auto"/>
        <w:ind w:left="360"/>
        <w:rPr>
          <w:rFonts w:eastAsia="Arial"/>
          <w:sz w:val="24"/>
          <w:szCs w:val="24"/>
          <w:lang w:val="en-US"/>
        </w:rPr>
      </w:pPr>
    </w:p>
    <w:p w14:paraId="7AC5E7C2" w14:textId="2B9CCACD" w:rsidR="00813B30" w:rsidRPr="006047FC"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6047FC">
        <w:rPr>
          <w:b/>
          <w:bCs/>
          <w:color w:val="000000"/>
          <w:sz w:val="24"/>
          <w:szCs w:val="24"/>
          <w:lang w:val="en-US"/>
        </w:rPr>
        <w:lastRenderedPageBreak/>
        <w:t>Residential Substance Abuse Treatment for Prisoners (RSAT) Continuation</w:t>
      </w:r>
    </w:p>
    <w:p w14:paraId="6D939EFB" w14:textId="622E5F35" w:rsidR="0041437A" w:rsidRPr="0041437A" w:rsidRDefault="0041437A" w:rsidP="004221BF">
      <w:pPr>
        <w:tabs>
          <w:tab w:val="left" w:pos="1620"/>
          <w:tab w:val="left" w:pos="2520"/>
        </w:tabs>
        <w:spacing w:line="240" w:lineRule="auto"/>
        <w:ind w:left="360"/>
        <w:rPr>
          <w:rFonts w:eastAsia="Arial"/>
          <w:sz w:val="24"/>
          <w:szCs w:val="24"/>
          <w:lang w:val="en-US"/>
        </w:rPr>
      </w:pPr>
      <w:r w:rsidRPr="0041437A">
        <w:rPr>
          <w:rFonts w:eastAsia="Arial"/>
          <w:sz w:val="24"/>
          <w:szCs w:val="24"/>
          <w:lang w:val="en-US"/>
        </w:rPr>
        <w:t>The purpose of this grant funding opportunity is to continue to support existing programs that provide evidence-based Residential Substance Use Disorder (SUD) Treatment Programs, which may include Medication Assisted Treatment (MAT) services within juvenile detention centers, local and regional jails, or prisons.</w:t>
      </w:r>
      <w:r w:rsidR="00C73A1F">
        <w:rPr>
          <w:rFonts w:eastAsia="Arial"/>
          <w:sz w:val="24"/>
          <w:szCs w:val="24"/>
          <w:lang w:val="en-US"/>
        </w:rPr>
        <w:t xml:space="preserve"> </w:t>
      </w:r>
      <w:r w:rsidRPr="0041437A">
        <w:rPr>
          <w:rFonts w:eastAsia="Arial"/>
          <w:sz w:val="24"/>
          <w:szCs w:val="24"/>
          <w:lang w:val="en-US"/>
        </w:rPr>
        <w:t xml:space="preserve">The funding may also be used for aftercare SUD treatment programs that serve individuals who are transitioning from a SUD treatment program </w:t>
      </w:r>
      <w:proofErr w:type="gramStart"/>
      <w:r w:rsidRPr="0041437A">
        <w:rPr>
          <w:rFonts w:eastAsia="Arial"/>
          <w:sz w:val="24"/>
          <w:szCs w:val="24"/>
          <w:lang w:val="en-US"/>
        </w:rPr>
        <w:t>in</w:t>
      </w:r>
      <w:proofErr w:type="gramEnd"/>
      <w:r w:rsidRPr="0041437A">
        <w:rPr>
          <w:rFonts w:eastAsia="Arial"/>
          <w:sz w:val="24"/>
          <w:szCs w:val="24"/>
          <w:lang w:val="en-US"/>
        </w:rPr>
        <w:t xml:space="preserve"> a jail or detention center.</w:t>
      </w:r>
      <w:r w:rsidR="00C73A1F">
        <w:rPr>
          <w:rFonts w:eastAsia="Arial"/>
          <w:sz w:val="24"/>
          <w:szCs w:val="24"/>
          <w:lang w:val="en-US"/>
        </w:rPr>
        <w:t xml:space="preserve"> </w:t>
      </w:r>
    </w:p>
    <w:p w14:paraId="241CC311" w14:textId="77777777" w:rsidR="0041437A" w:rsidRPr="0041437A" w:rsidRDefault="0041437A" w:rsidP="004221BF">
      <w:pPr>
        <w:tabs>
          <w:tab w:val="left" w:pos="1620"/>
          <w:tab w:val="left" w:pos="2520"/>
        </w:tabs>
        <w:spacing w:line="240" w:lineRule="auto"/>
        <w:ind w:left="360"/>
        <w:rPr>
          <w:rFonts w:eastAsia="Arial"/>
          <w:sz w:val="24"/>
          <w:szCs w:val="24"/>
          <w:lang w:val="en-US"/>
        </w:rPr>
      </w:pPr>
      <w:r w:rsidRPr="0041437A">
        <w:rPr>
          <w:rFonts w:eastAsia="Arial"/>
          <w:sz w:val="24"/>
          <w:szCs w:val="24"/>
          <w:lang w:val="en-US"/>
        </w:rPr>
        <w:t>This was a level funded, continuation funding opportunity and there were no</w:t>
      </w:r>
      <w:r w:rsidRPr="0041437A">
        <w:rPr>
          <w:rFonts w:eastAsia="Arial"/>
          <w:b/>
          <w:bCs/>
          <w:sz w:val="24"/>
          <w:szCs w:val="24"/>
          <w:lang w:val="en-US"/>
        </w:rPr>
        <w:t xml:space="preserve"> </w:t>
      </w:r>
      <w:r w:rsidRPr="0041437A">
        <w:rPr>
          <w:rFonts w:eastAsia="Arial"/>
          <w:sz w:val="24"/>
          <w:szCs w:val="24"/>
          <w:lang w:val="en-US"/>
        </w:rPr>
        <w:t xml:space="preserve">applications denied. One (1) grant was reduced to the level funded, allowable amount. </w:t>
      </w:r>
    </w:p>
    <w:p w14:paraId="3054451F" w14:textId="0CFD75BF" w:rsidR="0041437A" w:rsidRPr="0041437A" w:rsidRDefault="0041437A" w:rsidP="004221BF">
      <w:pPr>
        <w:tabs>
          <w:tab w:val="left" w:pos="1620"/>
          <w:tab w:val="left" w:pos="2520"/>
        </w:tabs>
        <w:spacing w:line="240" w:lineRule="auto"/>
        <w:ind w:left="360"/>
        <w:rPr>
          <w:rFonts w:eastAsia="Arial"/>
          <w:sz w:val="24"/>
          <w:szCs w:val="24"/>
          <w:lang w:val="en-US"/>
        </w:rPr>
      </w:pPr>
      <w:r w:rsidRPr="0041437A">
        <w:rPr>
          <w:rFonts w:eastAsia="Arial"/>
          <w:sz w:val="24"/>
          <w:szCs w:val="24"/>
          <w:lang w:val="en-US"/>
        </w:rPr>
        <w:t>Funds are used to support personnel and consultants that provide direct services to incarcerated individuals, staff training relating to substance use disorders and evidence-based curriculum, as well as medications and reentry supplies.</w:t>
      </w:r>
    </w:p>
    <w:p w14:paraId="1E40EF60" w14:textId="3C993164" w:rsidR="0041437A" w:rsidRPr="000F5D09" w:rsidRDefault="0041437A" w:rsidP="004221BF">
      <w:pPr>
        <w:tabs>
          <w:tab w:val="left" w:pos="1620"/>
          <w:tab w:val="left" w:pos="2520"/>
        </w:tabs>
        <w:spacing w:line="240" w:lineRule="auto"/>
        <w:ind w:left="360"/>
        <w:rPr>
          <w:rFonts w:eastAsia="Arial"/>
          <w:b/>
          <w:bCs/>
          <w:sz w:val="24"/>
          <w:szCs w:val="24"/>
          <w:lang w:val="en-US"/>
        </w:rPr>
      </w:pPr>
      <w:r w:rsidRPr="0041437A">
        <w:rPr>
          <w:rFonts w:eastAsia="Arial"/>
          <w:b/>
          <w:bCs/>
          <w:sz w:val="24"/>
          <w:szCs w:val="24"/>
          <w:lang w:val="en-US"/>
        </w:rPr>
        <w:t>In summary, DCJS staff request approval to fund 5 grant applications for the 12-month period (7/1/2025-6/30/2026), totaling $556,180, using $416,598 in federal funds and $139,582 in subrecipient match contributions.</w:t>
      </w:r>
      <w:r w:rsidR="00C73A1F">
        <w:rPr>
          <w:rFonts w:eastAsia="Arial"/>
          <w:b/>
          <w:bCs/>
          <w:sz w:val="24"/>
          <w:szCs w:val="24"/>
          <w:lang w:val="en-US"/>
        </w:rPr>
        <w:t xml:space="preserve"> </w:t>
      </w:r>
    </w:p>
    <w:p w14:paraId="1558EFBF" w14:textId="645EA731" w:rsidR="00813B30" w:rsidRPr="000F5D09" w:rsidRDefault="009E6B58"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There was a discussion regarding services provided for co-</w:t>
      </w:r>
      <w:r w:rsidR="000A46BD" w:rsidRPr="000F5D09">
        <w:rPr>
          <w:rFonts w:eastAsia="Arial"/>
          <w:sz w:val="24"/>
          <w:szCs w:val="24"/>
          <w:lang w:val="en-US"/>
        </w:rPr>
        <w:t>occurring</w:t>
      </w:r>
      <w:r w:rsidRPr="000F5D09">
        <w:rPr>
          <w:rFonts w:eastAsia="Arial"/>
          <w:sz w:val="24"/>
          <w:szCs w:val="24"/>
          <w:lang w:val="en-US"/>
        </w:rPr>
        <w:t xml:space="preserve"> substance abuse and mental health</w:t>
      </w:r>
      <w:r w:rsidR="000A46BD" w:rsidRPr="000F5D09">
        <w:rPr>
          <w:rFonts w:eastAsia="Arial"/>
          <w:sz w:val="24"/>
          <w:szCs w:val="24"/>
          <w:lang w:val="en-US"/>
        </w:rPr>
        <w:t xml:space="preserve"> disorders. </w:t>
      </w:r>
      <w:r w:rsidR="00813B30" w:rsidRPr="000F5D09">
        <w:rPr>
          <w:rFonts w:eastAsia="Arial"/>
          <w:sz w:val="24"/>
          <w:szCs w:val="24"/>
          <w:lang w:val="en-US"/>
        </w:rPr>
        <w:t xml:space="preserve">A motion was made by </w:t>
      </w:r>
      <w:r w:rsidR="00115A93" w:rsidRPr="000F5D09">
        <w:rPr>
          <w:rFonts w:eastAsia="Arial"/>
          <w:sz w:val="24"/>
          <w:szCs w:val="24"/>
          <w:lang w:val="en-US"/>
        </w:rPr>
        <w:t>Ms. Jankowski and seconded</w:t>
      </w:r>
      <w:r w:rsidR="00813B30" w:rsidRPr="000F5D09">
        <w:rPr>
          <w:rFonts w:eastAsia="Arial"/>
          <w:sz w:val="24"/>
          <w:szCs w:val="24"/>
          <w:lang w:val="en-US"/>
        </w:rPr>
        <w:t xml:space="preserve"> b</w:t>
      </w:r>
      <w:r w:rsidR="00E515E9" w:rsidRPr="000F5D09">
        <w:rPr>
          <w:rFonts w:eastAsia="Arial"/>
          <w:sz w:val="24"/>
          <w:szCs w:val="24"/>
          <w:lang w:val="en-US"/>
        </w:rPr>
        <w:t xml:space="preserve">y </w:t>
      </w:r>
      <w:r w:rsidR="005820A8" w:rsidRPr="000F5D09">
        <w:rPr>
          <w:rFonts w:eastAsia="Arial"/>
          <w:sz w:val="24"/>
          <w:szCs w:val="24"/>
          <w:lang w:val="en-US"/>
        </w:rPr>
        <w:t>Ms. Clar</w:t>
      </w:r>
      <w:r w:rsidR="00E515E9" w:rsidRPr="000F5D09">
        <w:rPr>
          <w:rFonts w:eastAsia="Arial"/>
          <w:sz w:val="24"/>
          <w:szCs w:val="24"/>
          <w:lang w:val="en-US"/>
        </w:rPr>
        <w:t>k</w:t>
      </w:r>
      <w:r w:rsidR="00813B30" w:rsidRPr="000F5D09">
        <w:rPr>
          <w:rFonts w:eastAsia="Arial"/>
          <w:sz w:val="24"/>
          <w:szCs w:val="24"/>
          <w:lang w:val="en-US"/>
        </w:rPr>
        <w:t xml:space="preserve">. The motion passed by majority vote. Recusals are noted in the attachment to the minutes. </w:t>
      </w:r>
    </w:p>
    <w:p w14:paraId="3BA1B64E" w14:textId="77777777" w:rsidR="0041437A" w:rsidRPr="000F5D09" w:rsidRDefault="0041437A" w:rsidP="004221BF">
      <w:pPr>
        <w:tabs>
          <w:tab w:val="left" w:pos="1620"/>
          <w:tab w:val="left" w:pos="2520"/>
        </w:tabs>
        <w:spacing w:line="240" w:lineRule="auto"/>
        <w:ind w:left="360"/>
        <w:rPr>
          <w:rFonts w:eastAsia="Arial"/>
          <w:sz w:val="24"/>
          <w:szCs w:val="24"/>
          <w:lang w:val="en-US"/>
        </w:rPr>
      </w:pPr>
    </w:p>
    <w:p w14:paraId="0FF22604" w14:textId="37C5597A" w:rsidR="00813B30" w:rsidRPr="00C64747"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C64747">
        <w:rPr>
          <w:b/>
          <w:bCs/>
          <w:color w:val="000000"/>
          <w:sz w:val="24"/>
          <w:szCs w:val="24"/>
          <w:lang w:val="en-US"/>
        </w:rPr>
        <w:t>Virginia Sexual and Domestic Violence Victim Fund (VSDVVF</w:t>
      </w:r>
      <w:r w:rsidRPr="00C64747">
        <w:rPr>
          <w:rFonts w:eastAsia="Arial"/>
          <w:b/>
          <w:bCs/>
          <w:sz w:val="24"/>
          <w:szCs w:val="24"/>
          <w:lang w:val="en-US"/>
        </w:rPr>
        <w:t>)</w:t>
      </w:r>
    </w:p>
    <w:p w14:paraId="2CD2C6B1" w14:textId="77777777" w:rsidR="00031F8E" w:rsidRPr="00031F8E" w:rsidRDefault="00031F8E" w:rsidP="004221BF">
      <w:pPr>
        <w:tabs>
          <w:tab w:val="left" w:pos="1620"/>
          <w:tab w:val="left" w:pos="2520"/>
        </w:tabs>
        <w:spacing w:line="240" w:lineRule="auto"/>
        <w:ind w:left="360"/>
        <w:rPr>
          <w:rFonts w:eastAsia="Arial"/>
          <w:sz w:val="24"/>
          <w:szCs w:val="24"/>
          <w:lang w:val="en-US"/>
        </w:rPr>
      </w:pPr>
      <w:r w:rsidRPr="00031F8E">
        <w:rPr>
          <w:rFonts w:eastAsia="Arial"/>
          <w:sz w:val="24"/>
          <w:szCs w:val="24"/>
          <w:lang w:val="en-US"/>
        </w:rPr>
        <w:t xml:space="preserve">The purpose of the Virginia Sexual and Domestic Violence Victim Fund (VSDVVF) Grant Program is to make funds available to local prosecutors for the cost of attorneys and/or to further dedicate resources to prosecute felonies and misdemeanors involving domestic violence, sexual violence/abuse, stalking, and family abuse. In addition, this grant program supports projects that provide advocacy and medical services to victims of and/or children affected by domestic violence, sexual violence/abuse, stalking, and family abuse. This grant program is supported by state funds and was established in </w:t>
      </w:r>
      <w:r w:rsidRPr="00031F8E">
        <w:rPr>
          <w:rFonts w:eastAsia="Arial"/>
          <w:i/>
          <w:iCs/>
          <w:sz w:val="24"/>
          <w:szCs w:val="24"/>
          <w:lang w:val="en-US"/>
        </w:rPr>
        <w:t>Code of Virginia</w:t>
      </w:r>
      <w:r w:rsidRPr="00031F8E">
        <w:rPr>
          <w:rFonts w:eastAsia="Arial"/>
          <w:sz w:val="24"/>
          <w:szCs w:val="24"/>
          <w:lang w:val="en-US"/>
        </w:rPr>
        <w:t xml:space="preserve"> § 9.1-116.1.</w:t>
      </w:r>
    </w:p>
    <w:p w14:paraId="0F886FFB" w14:textId="24D4E5FD" w:rsidR="00031F8E" w:rsidRPr="00031F8E" w:rsidRDefault="00031F8E" w:rsidP="004221BF">
      <w:pPr>
        <w:tabs>
          <w:tab w:val="left" w:pos="1620"/>
          <w:tab w:val="left" w:pos="2520"/>
        </w:tabs>
        <w:spacing w:line="240" w:lineRule="auto"/>
        <w:ind w:left="360"/>
        <w:rPr>
          <w:rFonts w:eastAsia="Arial"/>
          <w:sz w:val="24"/>
          <w:szCs w:val="24"/>
          <w:lang w:val="en-US"/>
        </w:rPr>
      </w:pPr>
      <w:r w:rsidRPr="00031F8E">
        <w:rPr>
          <w:rFonts w:eastAsia="Arial"/>
          <w:sz w:val="24"/>
          <w:szCs w:val="24"/>
          <w:lang w:val="en-US"/>
        </w:rPr>
        <w:t>One (1) application was denied during the preliminary review as the applicant was not eligible to apply, since this funding opportunity was only open for current FY2025 VSDVVF grantees and not open to new applicants. The requested amounts of two (2) applicants were increased as they mistakenly requested incorrect amounts in their initial applications. During the negotiation and verification process, their requested amounts were updated to reflect the correct maximum total award amounts.</w:t>
      </w:r>
    </w:p>
    <w:p w14:paraId="32A14D95" w14:textId="049E07F0" w:rsidR="00031F8E" w:rsidRPr="00031F8E" w:rsidRDefault="00031F8E" w:rsidP="004221BF">
      <w:pPr>
        <w:tabs>
          <w:tab w:val="left" w:pos="1620"/>
          <w:tab w:val="left" w:pos="2520"/>
        </w:tabs>
        <w:spacing w:line="240" w:lineRule="auto"/>
        <w:ind w:left="360"/>
        <w:rPr>
          <w:rFonts w:eastAsia="Arial"/>
          <w:sz w:val="24"/>
          <w:szCs w:val="24"/>
          <w:lang w:val="en-US"/>
        </w:rPr>
      </w:pPr>
      <w:r w:rsidRPr="00031F8E">
        <w:rPr>
          <w:rFonts w:eastAsia="Arial"/>
          <w:sz w:val="24"/>
          <w:szCs w:val="24"/>
          <w:lang w:val="en-US"/>
        </w:rPr>
        <w:t xml:space="preserve">The requests for funding will support personnel expenses for prosecutors, advocates, legal services, forensic nurse examiner (FNE) salaries and FNE equipment, and culturally specific services to underserved populations including counseling, shelter placement, and outreach. </w:t>
      </w:r>
    </w:p>
    <w:p w14:paraId="712A2551" w14:textId="77777777" w:rsidR="00031F8E" w:rsidRPr="00031F8E" w:rsidRDefault="00031F8E" w:rsidP="004221BF">
      <w:pPr>
        <w:tabs>
          <w:tab w:val="left" w:pos="1620"/>
          <w:tab w:val="left" w:pos="2520"/>
        </w:tabs>
        <w:spacing w:line="240" w:lineRule="auto"/>
        <w:ind w:left="360"/>
        <w:rPr>
          <w:rFonts w:eastAsia="Arial"/>
          <w:b/>
          <w:bCs/>
          <w:sz w:val="24"/>
          <w:szCs w:val="24"/>
          <w:lang w:val="en-US"/>
        </w:rPr>
      </w:pPr>
      <w:r w:rsidRPr="00031F8E">
        <w:rPr>
          <w:rFonts w:eastAsia="Arial"/>
          <w:b/>
          <w:bCs/>
          <w:sz w:val="24"/>
          <w:szCs w:val="24"/>
          <w:lang w:val="en-US"/>
        </w:rPr>
        <w:t>In summary, DCJS staff request approval to fund 49 grant applications for the 12-month period (7/1/2025-6/30/2026), totaling $2,259,760, using state general and special funds allocated for this purpose.</w:t>
      </w:r>
    </w:p>
    <w:p w14:paraId="57A920B2" w14:textId="4CB8892C" w:rsidR="00813B30" w:rsidRPr="000F5D09" w:rsidRDefault="000A46BD"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There were discussions </w:t>
      </w:r>
      <w:r w:rsidR="00BE0132" w:rsidRPr="000F5D09">
        <w:rPr>
          <w:rFonts w:eastAsia="Arial"/>
          <w:sz w:val="24"/>
          <w:szCs w:val="24"/>
          <w:lang w:val="en-US"/>
        </w:rPr>
        <w:t xml:space="preserve">on the need for additional resources for Sexual Assault Nurse Examiners and Forensic Nurse Examiners across the state. </w:t>
      </w:r>
      <w:r w:rsidR="004D6500">
        <w:rPr>
          <w:rFonts w:eastAsia="Arial"/>
          <w:sz w:val="24"/>
          <w:szCs w:val="24"/>
          <w:lang w:val="en-US"/>
        </w:rPr>
        <w:t xml:space="preserve">Discussion also included mention of an upcoming legislative study, federal funding available, and the Compensation Board. </w:t>
      </w:r>
      <w:r w:rsidR="00813B30" w:rsidRPr="000F5D09">
        <w:rPr>
          <w:rFonts w:eastAsia="Arial"/>
          <w:sz w:val="24"/>
          <w:szCs w:val="24"/>
          <w:lang w:val="en-US"/>
        </w:rPr>
        <w:t xml:space="preserve">A </w:t>
      </w:r>
      <w:r w:rsidR="00813B30" w:rsidRPr="000F5D09">
        <w:rPr>
          <w:rFonts w:eastAsia="Arial"/>
          <w:sz w:val="24"/>
          <w:szCs w:val="24"/>
          <w:lang w:val="en-US"/>
        </w:rPr>
        <w:lastRenderedPageBreak/>
        <w:t xml:space="preserve">motion was made by </w:t>
      </w:r>
      <w:r w:rsidR="00115A93" w:rsidRPr="000F5D09">
        <w:rPr>
          <w:rFonts w:eastAsia="Arial"/>
          <w:sz w:val="24"/>
          <w:szCs w:val="24"/>
          <w:lang w:val="en-US"/>
        </w:rPr>
        <w:t>Ms. Jankowski and seconded</w:t>
      </w:r>
      <w:r w:rsidR="00813B30" w:rsidRPr="000F5D09">
        <w:rPr>
          <w:rFonts w:eastAsia="Arial"/>
          <w:sz w:val="24"/>
          <w:szCs w:val="24"/>
          <w:lang w:val="en-US"/>
        </w:rPr>
        <w:t xml:space="preserve"> by </w:t>
      </w:r>
      <w:r w:rsidR="005820A8" w:rsidRPr="000F5D09">
        <w:rPr>
          <w:rFonts w:eastAsia="Arial"/>
          <w:sz w:val="24"/>
          <w:szCs w:val="24"/>
          <w:lang w:val="en-US"/>
        </w:rPr>
        <w:t>Ms. Clark</w:t>
      </w:r>
      <w:r w:rsidR="00813B30" w:rsidRPr="000F5D09">
        <w:rPr>
          <w:rFonts w:eastAsia="Arial"/>
          <w:sz w:val="24"/>
          <w:szCs w:val="24"/>
          <w:lang w:val="en-US"/>
        </w:rPr>
        <w:t xml:space="preserve">. The motion passed by majority vote. Recusals are noted in the attachment to the minutes. </w:t>
      </w:r>
    </w:p>
    <w:p w14:paraId="339FBB86" w14:textId="77777777" w:rsidR="00031F8E" w:rsidRPr="000F5D09" w:rsidRDefault="00031F8E" w:rsidP="004221BF">
      <w:pPr>
        <w:tabs>
          <w:tab w:val="left" w:pos="1620"/>
          <w:tab w:val="left" w:pos="2520"/>
        </w:tabs>
        <w:spacing w:line="240" w:lineRule="auto"/>
        <w:ind w:left="360"/>
        <w:rPr>
          <w:rFonts w:eastAsia="Arial"/>
          <w:sz w:val="24"/>
          <w:szCs w:val="24"/>
          <w:lang w:val="en-US"/>
        </w:rPr>
      </w:pPr>
    </w:p>
    <w:p w14:paraId="0E58442E" w14:textId="5F2E27C0" w:rsidR="00813B30" w:rsidRPr="00C64747"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C64747">
        <w:rPr>
          <w:b/>
          <w:bCs/>
          <w:color w:val="000000"/>
          <w:sz w:val="24"/>
          <w:szCs w:val="24"/>
          <w:lang w:val="en-US"/>
        </w:rPr>
        <w:t>Victim Witness Grant Program (VWGP</w:t>
      </w:r>
      <w:r w:rsidRPr="00C64747">
        <w:rPr>
          <w:rFonts w:eastAsia="Arial"/>
          <w:b/>
          <w:bCs/>
          <w:sz w:val="24"/>
          <w:szCs w:val="24"/>
          <w:lang w:val="en-US"/>
        </w:rPr>
        <w:t>)</w:t>
      </w:r>
    </w:p>
    <w:p w14:paraId="116954F7" w14:textId="77777777" w:rsidR="009A15CA" w:rsidRPr="009A15CA" w:rsidRDefault="009A15CA" w:rsidP="004221BF">
      <w:pPr>
        <w:tabs>
          <w:tab w:val="left" w:pos="1620"/>
          <w:tab w:val="left" w:pos="2520"/>
        </w:tabs>
        <w:spacing w:line="240" w:lineRule="auto"/>
        <w:ind w:left="360"/>
        <w:rPr>
          <w:rFonts w:eastAsia="Arial"/>
          <w:sz w:val="24"/>
          <w:szCs w:val="24"/>
          <w:lang w:val="en-US"/>
        </w:rPr>
      </w:pPr>
      <w:r w:rsidRPr="009A15CA">
        <w:rPr>
          <w:rFonts w:eastAsia="Arial"/>
          <w:sz w:val="24"/>
          <w:szCs w:val="24"/>
          <w:lang w:val="en-US"/>
        </w:rPr>
        <w:t xml:space="preserve">The purpose of the Victim Witness Grant Program (VWGP) is to provide financial support to 112 local and 3 statewide victim assistance programs. These programs provide direct services, information, and assistance to victims of crime as required by the </w:t>
      </w:r>
      <w:r w:rsidRPr="009A15CA">
        <w:rPr>
          <w:rFonts w:eastAsia="Arial"/>
          <w:i/>
          <w:iCs/>
          <w:sz w:val="24"/>
          <w:szCs w:val="24"/>
          <w:lang w:val="en-US"/>
        </w:rPr>
        <w:t>Code of Virginia</w:t>
      </w:r>
      <w:r w:rsidRPr="009A15CA">
        <w:rPr>
          <w:rFonts w:eastAsia="Arial"/>
          <w:sz w:val="24"/>
          <w:szCs w:val="24"/>
          <w:lang w:val="en-US"/>
        </w:rPr>
        <w:t xml:space="preserve"> § 19.2-11.01. Approximately half of the funding for this grant program comes from federal Victims of Crime Act (VOCA) funds administered to DCJS by the U.S. Department of Justice’s Office for Victims of Crime. In addition to federal funds, state general funds, and Virginia Crime Victim-Witness Fund special funds also support this grant program.</w:t>
      </w:r>
    </w:p>
    <w:p w14:paraId="444D845D" w14:textId="174CF8EC" w:rsidR="009A15CA" w:rsidRPr="009A15CA" w:rsidRDefault="009A15CA" w:rsidP="004221BF">
      <w:pPr>
        <w:tabs>
          <w:tab w:val="left" w:pos="1620"/>
          <w:tab w:val="left" w:pos="2520"/>
        </w:tabs>
        <w:spacing w:line="240" w:lineRule="auto"/>
        <w:ind w:left="360"/>
        <w:rPr>
          <w:rFonts w:eastAsia="Arial"/>
          <w:sz w:val="24"/>
          <w:szCs w:val="24"/>
          <w:lang w:val="en-US"/>
        </w:rPr>
      </w:pPr>
      <w:r w:rsidRPr="009A15CA">
        <w:rPr>
          <w:rFonts w:eastAsia="Arial"/>
          <w:sz w:val="24"/>
          <w:szCs w:val="24"/>
          <w:lang w:val="en-US"/>
        </w:rPr>
        <w:t>No applications were denied. One applicant’s requested amount was reduced as they requested $8.00 more than the maximum allowable award amount. Additionally, the requested amounts of nine (9) applicants were increased as they mistakenly requested incorrect amounts in their initial applications. During the negotiation and verification process, their requested amounts were updated to reflect the correct maximum allowable award amounts.</w:t>
      </w:r>
    </w:p>
    <w:p w14:paraId="476AB940" w14:textId="655508C8" w:rsidR="009A15CA" w:rsidRPr="009A15CA" w:rsidRDefault="009A15CA" w:rsidP="004221BF">
      <w:pPr>
        <w:tabs>
          <w:tab w:val="left" w:pos="1620"/>
          <w:tab w:val="left" w:pos="2520"/>
        </w:tabs>
        <w:spacing w:line="240" w:lineRule="auto"/>
        <w:ind w:left="360"/>
        <w:rPr>
          <w:rFonts w:eastAsia="Arial"/>
          <w:sz w:val="24"/>
          <w:szCs w:val="24"/>
          <w:lang w:val="en-US"/>
        </w:rPr>
      </w:pPr>
      <w:r w:rsidRPr="009A15CA">
        <w:rPr>
          <w:rFonts w:eastAsia="Arial"/>
          <w:sz w:val="24"/>
          <w:szCs w:val="24"/>
          <w:lang w:val="en-US"/>
        </w:rPr>
        <w:t>Requested items for funding include, but are not limited to, personnel expenses, supplies, travel costs, and emergency assistance for victims of crime. Services provided by these funded projects include victim advocacy, criminal justice assistance, court accompaniment, crisis intervention, referral information, and other related services.</w:t>
      </w:r>
    </w:p>
    <w:p w14:paraId="4D54D9B1" w14:textId="3942820C" w:rsidR="009A15CA" w:rsidRPr="000F5D09" w:rsidRDefault="009A15CA" w:rsidP="004221BF">
      <w:pPr>
        <w:tabs>
          <w:tab w:val="left" w:pos="1620"/>
          <w:tab w:val="left" w:pos="2520"/>
        </w:tabs>
        <w:spacing w:line="240" w:lineRule="auto"/>
        <w:ind w:left="360"/>
        <w:rPr>
          <w:rFonts w:eastAsia="Arial"/>
          <w:b/>
          <w:bCs/>
          <w:sz w:val="24"/>
          <w:szCs w:val="24"/>
          <w:lang w:val="en-US"/>
        </w:rPr>
      </w:pPr>
      <w:r w:rsidRPr="009A15CA">
        <w:rPr>
          <w:rFonts w:eastAsia="Arial"/>
          <w:b/>
          <w:bCs/>
          <w:sz w:val="24"/>
          <w:szCs w:val="24"/>
          <w:lang w:val="en-US"/>
        </w:rPr>
        <w:t>In summary, DCJS staff request approval for 115 grant awards for the 12-month period (7/1/2025-6/30/2026), totaling $20,779,087, comprised of federal VOCA funds, state general funds, and Virginia Crime Victim-Witness Fund special funds allocated for this purpose.</w:t>
      </w:r>
    </w:p>
    <w:p w14:paraId="6B3C4152" w14:textId="0C6B63DC" w:rsidR="00813B30" w:rsidRPr="000F5D09" w:rsidRDefault="00813B30"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A motion was made by </w:t>
      </w:r>
      <w:r w:rsidR="00115A93" w:rsidRPr="000F5D09">
        <w:rPr>
          <w:rFonts w:eastAsia="Arial"/>
          <w:sz w:val="24"/>
          <w:szCs w:val="24"/>
          <w:lang w:val="en-US"/>
        </w:rPr>
        <w:t>Sheriff Hieatt and seconded</w:t>
      </w:r>
      <w:r w:rsidRPr="000F5D09">
        <w:rPr>
          <w:rFonts w:eastAsia="Arial"/>
          <w:sz w:val="24"/>
          <w:szCs w:val="24"/>
          <w:lang w:val="en-US"/>
        </w:rPr>
        <w:t xml:space="preserve"> by </w:t>
      </w:r>
      <w:r w:rsidR="005820A8" w:rsidRPr="000F5D09">
        <w:rPr>
          <w:rFonts w:eastAsia="Arial"/>
          <w:sz w:val="24"/>
          <w:szCs w:val="24"/>
          <w:lang w:val="en-US"/>
        </w:rPr>
        <w:t>Ms. Jankowski</w:t>
      </w:r>
      <w:r w:rsidRPr="000F5D09">
        <w:rPr>
          <w:rFonts w:eastAsia="Arial"/>
          <w:sz w:val="24"/>
          <w:szCs w:val="24"/>
          <w:lang w:val="en-US"/>
        </w:rPr>
        <w:t xml:space="preserve">. The motion passed by majority vote. Recusals are noted in the attachment to the minutes. </w:t>
      </w:r>
    </w:p>
    <w:p w14:paraId="0F673813" w14:textId="77777777" w:rsidR="009A15CA" w:rsidRPr="000F5D09" w:rsidRDefault="009A15CA" w:rsidP="004221BF">
      <w:pPr>
        <w:tabs>
          <w:tab w:val="left" w:pos="1620"/>
          <w:tab w:val="left" w:pos="2520"/>
        </w:tabs>
        <w:spacing w:line="240" w:lineRule="auto"/>
        <w:ind w:left="360"/>
        <w:rPr>
          <w:rFonts w:eastAsia="Arial"/>
          <w:sz w:val="24"/>
          <w:szCs w:val="24"/>
          <w:lang w:val="en-US"/>
        </w:rPr>
      </w:pPr>
    </w:p>
    <w:p w14:paraId="2A59C8F2" w14:textId="531DA2C9" w:rsidR="004124DA" w:rsidRPr="00C64747"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C64747">
        <w:rPr>
          <w:b/>
          <w:bCs/>
          <w:color w:val="000000"/>
          <w:sz w:val="24"/>
          <w:szCs w:val="24"/>
          <w:lang w:val="en-US"/>
        </w:rPr>
        <w:t>Byrne State Crisis Intervention Program (BSCI</w:t>
      </w:r>
      <w:r w:rsidRPr="00C64747">
        <w:rPr>
          <w:rFonts w:eastAsia="Arial"/>
          <w:b/>
          <w:bCs/>
          <w:sz w:val="24"/>
          <w:szCs w:val="24"/>
          <w:lang w:val="en-US"/>
        </w:rPr>
        <w:t>)</w:t>
      </w:r>
    </w:p>
    <w:p w14:paraId="7E7B99BD" w14:textId="4FB0D997" w:rsidR="002F2F4C" w:rsidRPr="002F2F4C" w:rsidRDefault="002F2F4C" w:rsidP="004221BF">
      <w:pPr>
        <w:tabs>
          <w:tab w:val="left" w:pos="1620"/>
          <w:tab w:val="left" w:pos="2520"/>
        </w:tabs>
        <w:spacing w:line="240" w:lineRule="auto"/>
        <w:ind w:left="360"/>
        <w:rPr>
          <w:rFonts w:eastAsia="Arial"/>
          <w:sz w:val="24"/>
          <w:szCs w:val="24"/>
          <w:lang w:val="en-US"/>
        </w:rPr>
      </w:pPr>
      <w:r w:rsidRPr="002F2F4C">
        <w:rPr>
          <w:rFonts w:eastAsia="Arial"/>
          <w:sz w:val="24"/>
          <w:szCs w:val="24"/>
          <w:lang w:val="en-US"/>
        </w:rPr>
        <w:t>The purpose of this grant funding opportunity is to provide applicants with an opportunity to increase program capacity, program acceptance rates, and graduation rates for recovery courts, behavioral health dockets, and veterans’ treatment dockets (specialty dockets).</w:t>
      </w:r>
      <w:r w:rsidR="00C73A1F">
        <w:rPr>
          <w:rFonts w:eastAsia="Arial"/>
          <w:sz w:val="24"/>
          <w:szCs w:val="24"/>
          <w:lang w:val="en-US"/>
        </w:rPr>
        <w:t xml:space="preserve"> </w:t>
      </w:r>
    </w:p>
    <w:p w14:paraId="4D1E20BD" w14:textId="2FB02F14" w:rsidR="002F2F4C" w:rsidRPr="002F2F4C" w:rsidRDefault="002F2F4C" w:rsidP="004221BF">
      <w:pPr>
        <w:tabs>
          <w:tab w:val="left" w:pos="1620"/>
          <w:tab w:val="left" w:pos="2520"/>
        </w:tabs>
        <w:spacing w:line="240" w:lineRule="auto"/>
        <w:ind w:left="360"/>
        <w:rPr>
          <w:rFonts w:eastAsia="Arial"/>
          <w:sz w:val="24"/>
          <w:szCs w:val="24"/>
          <w:lang w:val="en-US"/>
        </w:rPr>
      </w:pPr>
      <w:r w:rsidRPr="002F2F4C">
        <w:rPr>
          <w:rFonts w:eastAsia="Arial"/>
          <w:sz w:val="24"/>
          <w:szCs w:val="24"/>
          <w:lang w:val="en-US"/>
        </w:rPr>
        <w:t>Two (2) applications were denied and deemed to be ineligible because they were not submitted by local governments.</w:t>
      </w:r>
    </w:p>
    <w:p w14:paraId="41C42693" w14:textId="441F325F" w:rsidR="00AC2C2B" w:rsidRDefault="002F2F4C" w:rsidP="004221BF">
      <w:pPr>
        <w:tabs>
          <w:tab w:val="left" w:pos="1620"/>
          <w:tab w:val="left" w:pos="2520"/>
        </w:tabs>
        <w:spacing w:line="240" w:lineRule="auto"/>
        <w:ind w:left="360"/>
        <w:rPr>
          <w:rFonts w:eastAsia="Arial"/>
          <w:sz w:val="24"/>
          <w:szCs w:val="24"/>
          <w:lang w:val="en-US"/>
        </w:rPr>
      </w:pPr>
      <w:r w:rsidRPr="002F2F4C">
        <w:rPr>
          <w:rFonts w:eastAsia="Arial"/>
          <w:sz w:val="24"/>
          <w:szCs w:val="24"/>
          <w:lang w:val="en-US"/>
        </w:rPr>
        <w:t xml:space="preserve">Funds will be used to support personnel and consultants that provide direct services to the participants enrolled in the specialty docket programs, which will expand </w:t>
      </w:r>
      <w:proofErr w:type="gramStart"/>
      <w:r w:rsidRPr="002F2F4C">
        <w:rPr>
          <w:rFonts w:eastAsia="Arial"/>
          <w:sz w:val="24"/>
          <w:szCs w:val="24"/>
          <w:lang w:val="en-US"/>
        </w:rPr>
        <w:t>program</w:t>
      </w:r>
      <w:proofErr w:type="gramEnd"/>
      <w:r w:rsidRPr="002F2F4C">
        <w:rPr>
          <w:rFonts w:eastAsia="Arial"/>
          <w:sz w:val="24"/>
          <w:szCs w:val="24"/>
          <w:lang w:val="en-US"/>
        </w:rPr>
        <w:t xml:space="preserve"> capacity.</w:t>
      </w:r>
      <w:r w:rsidR="00C73A1F">
        <w:rPr>
          <w:rFonts w:eastAsia="Arial"/>
          <w:sz w:val="24"/>
          <w:szCs w:val="24"/>
          <w:lang w:val="en-US"/>
        </w:rPr>
        <w:t xml:space="preserve"> </w:t>
      </w:r>
      <w:r w:rsidRPr="002F2F4C">
        <w:rPr>
          <w:rFonts w:eastAsia="Arial"/>
          <w:sz w:val="24"/>
          <w:szCs w:val="24"/>
          <w:lang w:val="en-US"/>
        </w:rPr>
        <w:t>Additionally, funding will be utilized for ancillary services such as housing support, vocational/educational services, and community collaboration activities.</w:t>
      </w:r>
    </w:p>
    <w:p w14:paraId="25D92824" w14:textId="77777777" w:rsidR="00AC2C2B" w:rsidRDefault="00AC2C2B">
      <w:pPr>
        <w:spacing w:before="0" w:after="160" w:line="259" w:lineRule="auto"/>
        <w:rPr>
          <w:rFonts w:eastAsia="Arial"/>
          <w:sz w:val="24"/>
          <w:szCs w:val="24"/>
          <w:lang w:val="en-US"/>
        </w:rPr>
      </w:pPr>
      <w:r>
        <w:rPr>
          <w:rFonts w:eastAsia="Arial"/>
          <w:sz w:val="24"/>
          <w:szCs w:val="24"/>
          <w:lang w:val="en-US"/>
        </w:rPr>
        <w:br w:type="page"/>
      </w:r>
    </w:p>
    <w:p w14:paraId="4A7C6BCF" w14:textId="1184C252" w:rsidR="002F2F4C" w:rsidRPr="000F5D09" w:rsidRDefault="002F2F4C" w:rsidP="004221BF">
      <w:pPr>
        <w:tabs>
          <w:tab w:val="left" w:pos="1620"/>
          <w:tab w:val="left" w:pos="2520"/>
        </w:tabs>
        <w:spacing w:line="240" w:lineRule="auto"/>
        <w:ind w:left="360"/>
        <w:rPr>
          <w:rFonts w:eastAsia="Arial"/>
          <w:b/>
          <w:bCs/>
          <w:sz w:val="24"/>
          <w:szCs w:val="24"/>
          <w:lang w:val="en-US"/>
        </w:rPr>
      </w:pPr>
      <w:r w:rsidRPr="002F2F4C">
        <w:rPr>
          <w:rFonts w:eastAsia="Arial"/>
          <w:b/>
          <w:bCs/>
          <w:sz w:val="24"/>
          <w:szCs w:val="24"/>
          <w:lang w:val="en-US"/>
        </w:rPr>
        <w:lastRenderedPageBreak/>
        <w:t xml:space="preserve">In summary, DCJS Staff request approval to fund two (2) grant applications for the 22-month period (9/1/2025-6/30/2027), totaling $240,200, using federal funds allocated for this purpose. </w:t>
      </w:r>
    </w:p>
    <w:p w14:paraId="659AFAB8" w14:textId="223402CE" w:rsidR="00813B30" w:rsidRPr="000F5D09" w:rsidRDefault="00966807"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There was a discussion </w:t>
      </w:r>
      <w:r w:rsidR="00F364AA" w:rsidRPr="000F5D09">
        <w:rPr>
          <w:rFonts w:eastAsia="Arial"/>
          <w:sz w:val="24"/>
          <w:szCs w:val="24"/>
          <w:lang w:val="en-US"/>
        </w:rPr>
        <w:t>on the services provided by consultants under this funding opportunity</w:t>
      </w:r>
      <w:r w:rsidR="004D6500">
        <w:rPr>
          <w:rFonts w:eastAsia="Arial"/>
          <w:sz w:val="24"/>
          <w:szCs w:val="24"/>
          <w:lang w:val="en-US"/>
        </w:rPr>
        <w:t xml:space="preserve"> and staff clarified that they are treatment providers</w:t>
      </w:r>
      <w:r w:rsidR="00F364AA" w:rsidRPr="000F5D09">
        <w:rPr>
          <w:rFonts w:eastAsia="Arial"/>
          <w:sz w:val="24"/>
          <w:szCs w:val="24"/>
          <w:lang w:val="en-US"/>
        </w:rPr>
        <w:t xml:space="preserve">. </w:t>
      </w:r>
      <w:r w:rsidR="00813B30" w:rsidRPr="000F5D09">
        <w:rPr>
          <w:rFonts w:eastAsia="Arial"/>
          <w:sz w:val="24"/>
          <w:szCs w:val="24"/>
          <w:lang w:val="en-US"/>
        </w:rPr>
        <w:t xml:space="preserve">A motion was made by </w:t>
      </w:r>
      <w:r w:rsidR="00115A93" w:rsidRPr="000F5D09">
        <w:rPr>
          <w:rFonts w:eastAsia="Arial"/>
          <w:sz w:val="24"/>
          <w:szCs w:val="24"/>
          <w:lang w:val="en-US"/>
        </w:rPr>
        <w:t>Mr. McGuire and seconded</w:t>
      </w:r>
      <w:r w:rsidR="00813B30" w:rsidRPr="000F5D09">
        <w:rPr>
          <w:rFonts w:eastAsia="Arial"/>
          <w:sz w:val="24"/>
          <w:szCs w:val="24"/>
          <w:lang w:val="en-US"/>
        </w:rPr>
        <w:t xml:space="preserve"> by </w:t>
      </w:r>
      <w:r w:rsidR="005820A8" w:rsidRPr="000F5D09">
        <w:rPr>
          <w:rFonts w:eastAsia="Arial"/>
          <w:sz w:val="24"/>
          <w:szCs w:val="24"/>
          <w:lang w:val="en-US"/>
        </w:rPr>
        <w:t>Ms. Jankowski</w:t>
      </w:r>
      <w:r w:rsidR="00813B30" w:rsidRPr="000F5D09">
        <w:rPr>
          <w:rFonts w:eastAsia="Arial"/>
          <w:sz w:val="24"/>
          <w:szCs w:val="24"/>
          <w:lang w:val="en-US"/>
        </w:rPr>
        <w:t xml:space="preserve">. The motion passed by majority vote. Recusals are noted in the attachment to the minutes. </w:t>
      </w:r>
    </w:p>
    <w:p w14:paraId="5D2CFFEF" w14:textId="77777777" w:rsidR="002F2F4C" w:rsidRPr="000F5D09" w:rsidRDefault="002F2F4C" w:rsidP="004221BF">
      <w:pPr>
        <w:tabs>
          <w:tab w:val="left" w:pos="1620"/>
          <w:tab w:val="left" w:pos="2520"/>
        </w:tabs>
        <w:spacing w:line="240" w:lineRule="auto"/>
        <w:ind w:left="360"/>
        <w:rPr>
          <w:rFonts w:eastAsia="Arial"/>
          <w:sz w:val="24"/>
          <w:szCs w:val="24"/>
          <w:lang w:val="en-US"/>
        </w:rPr>
      </w:pPr>
    </w:p>
    <w:p w14:paraId="05915504" w14:textId="1C5619A8" w:rsidR="00813B30" w:rsidRPr="00C64747"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C64747">
        <w:rPr>
          <w:b/>
          <w:bCs/>
          <w:color w:val="000000"/>
          <w:sz w:val="24"/>
          <w:szCs w:val="24"/>
          <w:lang w:val="en-US"/>
        </w:rPr>
        <w:t>Byrne Justice Assistance Grant Program (BJAG</w:t>
      </w:r>
      <w:r w:rsidRPr="00C64747">
        <w:rPr>
          <w:rFonts w:eastAsia="Arial"/>
          <w:b/>
          <w:bCs/>
          <w:sz w:val="24"/>
          <w:szCs w:val="24"/>
          <w:lang w:val="en-US"/>
        </w:rPr>
        <w:t>)</w:t>
      </w:r>
    </w:p>
    <w:p w14:paraId="46C05BE0" w14:textId="77777777" w:rsidR="009F2F1E" w:rsidRPr="009F2F1E" w:rsidRDefault="009F2F1E" w:rsidP="004221BF">
      <w:pPr>
        <w:tabs>
          <w:tab w:val="left" w:pos="1620"/>
          <w:tab w:val="left" w:pos="2520"/>
        </w:tabs>
        <w:spacing w:line="240" w:lineRule="auto"/>
        <w:ind w:left="360"/>
        <w:rPr>
          <w:rFonts w:eastAsia="Arial"/>
          <w:sz w:val="24"/>
          <w:szCs w:val="24"/>
          <w:lang w:val="en-US"/>
        </w:rPr>
      </w:pPr>
      <w:r w:rsidRPr="009F2F1E">
        <w:rPr>
          <w:rFonts w:eastAsia="Arial"/>
          <w:sz w:val="24"/>
          <w:szCs w:val="24"/>
          <w:lang w:val="en-US"/>
        </w:rPr>
        <w:t>The purpose of Edward Byrne Memorial Justice Assistance Grant (“JAG”) funds is to allow states and units of local government, including tribes, to support a broad range of activities to prevent and control crime based on their own state and local needs and conditions. As the State Administrative Agency (SAA), DCJS has the responsibility of managing the coordination and distribution of JAG funds in a manner that supports and improves the overall criminal justice system of the Commonwealth of Virginia.</w:t>
      </w:r>
    </w:p>
    <w:p w14:paraId="5C9179EA" w14:textId="4ABD5874" w:rsidR="009F2F1E" w:rsidRPr="009F2F1E" w:rsidRDefault="009F2F1E" w:rsidP="004221BF">
      <w:pPr>
        <w:tabs>
          <w:tab w:val="left" w:pos="1620"/>
          <w:tab w:val="left" w:pos="2520"/>
        </w:tabs>
        <w:spacing w:line="240" w:lineRule="auto"/>
        <w:ind w:left="360"/>
        <w:rPr>
          <w:rFonts w:eastAsia="Arial"/>
          <w:sz w:val="24"/>
          <w:szCs w:val="24"/>
          <w:lang w:val="en-US"/>
        </w:rPr>
      </w:pPr>
      <w:r w:rsidRPr="009F2F1E">
        <w:rPr>
          <w:rFonts w:eastAsia="Arial"/>
          <w:sz w:val="24"/>
          <w:szCs w:val="24"/>
          <w:lang w:val="en-US"/>
        </w:rPr>
        <w:t>This competitive funding opportunity was open to all local law enforcement agencies and public campus law enforcement agencies.</w:t>
      </w:r>
      <w:r w:rsidR="00C73A1F">
        <w:rPr>
          <w:rFonts w:eastAsia="Arial"/>
          <w:sz w:val="24"/>
          <w:szCs w:val="24"/>
          <w:lang w:val="en-US"/>
        </w:rPr>
        <w:t xml:space="preserve"> </w:t>
      </w:r>
      <w:r w:rsidRPr="009F2F1E">
        <w:rPr>
          <w:rFonts w:eastAsia="Arial"/>
          <w:sz w:val="24"/>
          <w:szCs w:val="24"/>
          <w:lang w:val="en-US"/>
        </w:rPr>
        <w:t>Applicants were invited to submit applications with a project to purchase equipment that improves or enhances the delivery of daily law enforcement services to the community and/or ensures the safety of citizens and officers.</w:t>
      </w:r>
    </w:p>
    <w:p w14:paraId="55914690" w14:textId="4F893D9F" w:rsidR="009F2F1E" w:rsidRPr="009F2F1E" w:rsidRDefault="009F2F1E" w:rsidP="004221BF">
      <w:pPr>
        <w:tabs>
          <w:tab w:val="left" w:pos="1620"/>
          <w:tab w:val="left" w:pos="2520"/>
        </w:tabs>
        <w:spacing w:line="240" w:lineRule="auto"/>
        <w:ind w:left="360"/>
        <w:rPr>
          <w:rFonts w:eastAsia="Arial"/>
          <w:sz w:val="24"/>
          <w:szCs w:val="24"/>
          <w:lang w:val="en-US"/>
        </w:rPr>
      </w:pPr>
      <w:r w:rsidRPr="009F2F1E">
        <w:rPr>
          <w:rFonts w:eastAsia="Arial"/>
          <w:sz w:val="24"/>
          <w:szCs w:val="24"/>
          <w:lang w:val="en-US"/>
        </w:rPr>
        <w:t>Priority was given to those applicants who could spend the money by September 30,</w:t>
      </w:r>
      <w:r w:rsidRPr="009F2F1E">
        <w:rPr>
          <w:rFonts w:eastAsia="Arial"/>
          <w:sz w:val="24"/>
          <w:szCs w:val="24"/>
          <w:vertAlign w:val="superscript"/>
          <w:lang w:val="en-US"/>
        </w:rPr>
        <w:t xml:space="preserve"> </w:t>
      </w:r>
      <w:r w:rsidRPr="009F2F1E">
        <w:rPr>
          <w:rFonts w:eastAsia="Arial"/>
          <w:sz w:val="24"/>
          <w:szCs w:val="24"/>
          <w:lang w:val="en-US"/>
        </w:rPr>
        <w:t>2025, as some federal funding for this funding opportunity ends in September.</w:t>
      </w:r>
      <w:r w:rsidR="00C73A1F">
        <w:rPr>
          <w:rFonts w:eastAsia="Arial"/>
          <w:sz w:val="24"/>
          <w:szCs w:val="24"/>
          <w:lang w:val="en-US"/>
        </w:rPr>
        <w:t xml:space="preserve"> </w:t>
      </w:r>
      <w:r w:rsidRPr="009F2F1E">
        <w:rPr>
          <w:rFonts w:eastAsia="Arial"/>
          <w:sz w:val="24"/>
          <w:szCs w:val="24"/>
          <w:lang w:val="en-US"/>
        </w:rPr>
        <w:t xml:space="preserve">Seventy (70) applications were denied; five (5) applicants were deemed ineligible and sixty-five (65) </w:t>
      </w:r>
      <w:proofErr w:type="gramStart"/>
      <w:r w:rsidRPr="009F2F1E">
        <w:rPr>
          <w:rFonts w:eastAsia="Arial"/>
          <w:sz w:val="24"/>
          <w:szCs w:val="24"/>
          <w:lang w:val="en-US"/>
        </w:rPr>
        <w:t>did</w:t>
      </w:r>
      <w:proofErr w:type="gramEnd"/>
      <w:r w:rsidRPr="009F2F1E">
        <w:rPr>
          <w:rFonts w:eastAsia="Arial"/>
          <w:sz w:val="24"/>
          <w:szCs w:val="24"/>
          <w:lang w:val="en-US"/>
        </w:rPr>
        <w:t xml:space="preserve"> not meet criteria, e.g. asked for items not allowable, asked for items that were outside the grant period, or had an incomplete/poor application.</w:t>
      </w:r>
      <w:r w:rsidR="00C73A1F">
        <w:rPr>
          <w:rFonts w:eastAsia="Arial"/>
          <w:sz w:val="24"/>
          <w:szCs w:val="24"/>
          <w:lang w:val="en-US"/>
        </w:rPr>
        <w:t xml:space="preserve"> </w:t>
      </w:r>
      <w:r w:rsidRPr="009F2F1E">
        <w:rPr>
          <w:rFonts w:eastAsia="Arial"/>
          <w:sz w:val="24"/>
          <w:szCs w:val="24"/>
          <w:lang w:val="en-US"/>
        </w:rPr>
        <w:t>Eighteen (18) applications were reduced in funding due to unallowable expenses and/or insufficient justification.</w:t>
      </w:r>
    </w:p>
    <w:p w14:paraId="3B3C6623" w14:textId="48144E8C" w:rsidR="009F2F1E" w:rsidRPr="009F2F1E" w:rsidRDefault="009F2F1E" w:rsidP="004221BF">
      <w:pPr>
        <w:tabs>
          <w:tab w:val="left" w:pos="1620"/>
          <w:tab w:val="left" w:pos="2520"/>
        </w:tabs>
        <w:spacing w:line="240" w:lineRule="auto"/>
        <w:ind w:left="360"/>
        <w:rPr>
          <w:rFonts w:eastAsia="Arial"/>
          <w:sz w:val="24"/>
          <w:szCs w:val="24"/>
          <w:lang w:val="en-US"/>
        </w:rPr>
      </w:pPr>
      <w:r w:rsidRPr="009F2F1E">
        <w:rPr>
          <w:rFonts w:eastAsia="Arial"/>
          <w:sz w:val="24"/>
          <w:szCs w:val="24"/>
          <w:lang w:val="en-US"/>
        </w:rPr>
        <w:t xml:space="preserve">This funding opportunity was for law </w:t>
      </w:r>
      <w:proofErr w:type="gramStart"/>
      <w:r w:rsidRPr="009F2F1E">
        <w:rPr>
          <w:rFonts w:eastAsia="Arial"/>
          <w:sz w:val="24"/>
          <w:szCs w:val="24"/>
          <w:lang w:val="en-US"/>
        </w:rPr>
        <w:t>enforcement based</w:t>
      </w:r>
      <w:proofErr w:type="gramEnd"/>
      <w:r w:rsidRPr="009F2F1E">
        <w:rPr>
          <w:rFonts w:eastAsia="Arial"/>
          <w:sz w:val="24"/>
          <w:szCs w:val="24"/>
          <w:lang w:val="en-US"/>
        </w:rPr>
        <w:t xml:space="preserve"> equipment and supplies only.</w:t>
      </w:r>
      <w:r w:rsidR="00C73A1F">
        <w:rPr>
          <w:rFonts w:eastAsia="Arial"/>
          <w:sz w:val="24"/>
          <w:szCs w:val="24"/>
          <w:lang w:val="en-US"/>
        </w:rPr>
        <w:t xml:space="preserve"> </w:t>
      </w:r>
      <w:r w:rsidRPr="009F2F1E">
        <w:rPr>
          <w:rFonts w:eastAsia="Arial"/>
          <w:sz w:val="24"/>
          <w:szCs w:val="24"/>
          <w:lang w:val="en-US"/>
        </w:rPr>
        <w:t>Items that were recommended for funding included items such as Mobile Data Terminals (MDTs), first aid kits/Automatic External Defibrillators (AEDs), ballistic shields and helmets, bicycles, cameras, radar detections, etc.</w:t>
      </w:r>
      <w:r w:rsidR="00C73A1F">
        <w:rPr>
          <w:rFonts w:eastAsia="Arial"/>
          <w:sz w:val="24"/>
          <w:szCs w:val="24"/>
          <w:lang w:val="en-US"/>
        </w:rPr>
        <w:t xml:space="preserve"> </w:t>
      </w:r>
    </w:p>
    <w:p w14:paraId="787F286C" w14:textId="01E11EB7" w:rsidR="004124DA" w:rsidRPr="000F5D09" w:rsidRDefault="009F2F1E" w:rsidP="004221BF">
      <w:pPr>
        <w:tabs>
          <w:tab w:val="left" w:pos="1620"/>
          <w:tab w:val="left" w:pos="2520"/>
        </w:tabs>
        <w:spacing w:line="240" w:lineRule="auto"/>
        <w:ind w:left="360"/>
        <w:rPr>
          <w:rFonts w:eastAsia="Arial"/>
          <w:b/>
          <w:bCs/>
          <w:sz w:val="24"/>
          <w:szCs w:val="24"/>
          <w:lang w:val="en-US"/>
        </w:rPr>
      </w:pPr>
      <w:r w:rsidRPr="009F2F1E">
        <w:rPr>
          <w:rFonts w:eastAsia="Arial"/>
          <w:b/>
          <w:bCs/>
          <w:sz w:val="24"/>
          <w:szCs w:val="24"/>
          <w:lang w:val="en-US"/>
        </w:rPr>
        <w:t xml:space="preserve">In summary, DCJS staff requests approval to fund seventy-five (75) grant applications for the six-month period (7/1/2025-12/31/2025), totaling $3,792,514 using $2,844,365 in federal JAG funding allocated for this purpose and $948,149 in subrecipient match contribution. </w:t>
      </w:r>
    </w:p>
    <w:p w14:paraId="33772AB5" w14:textId="27EC43C2" w:rsidR="00813B30" w:rsidRPr="000F5D09" w:rsidRDefault="000E7959"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There were discussion</w:t>
      </w:r>
      <w:r w:rsidR="004905A0" w:rsidRPr="000F5D09">
        <w:rPr>
          <w:rFonts w:eastAsia="Arial"/>
          <w:sz w:val="24"/>
          <w:szCs w:val="24"/>
          <w:lang w:val="en-US"/>
        </w:rPr>
        <w:t>s</w:t>
      </w:r>
      <w:r w:rsidRPr="000F5D09">
        <w:rPr>
          <w:rFonts w:eastAsia="Arial"/>
          <w:sz w:val="24"/>
          <w:szCs w:val="24"/>
          <w:lang w:val="en-US"/>
        </w:rPr>
        <w:t xml:space="preserve"> on the types of equipment </w:t>
      </w:r>
      <w:r w:rsidR="004905A0" w:rsidRPr="000F5D09">
        <w:rPr>
          <w:rFonts w:eastAsia="Arial"/>
          <w:sz w:val="24"/>
          <w:szCs w:val="24"/>
          <w:lang w:val="en-US"/>
        </w:rPr>
        <w:t xml:space="preserve">requested by applicants. </w:t>
      </w:r>
      <w:r w:rsidR="00813B30" w:rsidRPr="000F5D09">
        <w:rPr>
          <w:rFonts w:eastAsia="Arial"/>
          <w:sz w:val="24"/>
          <w:szCs w:val="24"/>
          <w:lang w:val="en-US"/>
        </w:rPr>
        <w:t xml:space="preserve">A motion was made by </w:t>
      </w:r>
      <w:r w:rsidR="00115A93" w:rsidRPr="000F5D09">
        <w:rPr>
          <w:rFonts w:eastAsia="Arial"/>
          <w:sz w:val="24"/>
          <w:szCs w:val="24"/>
          <w:lang w:val="en-US"/>
        </w:rPr>
        <w:t>Mr. McGuire and seconded</w:t>
      </w:r>
      <w:r w:rsidR="00813B30" w:rsidRPr="000F5D09">
        <w:rPr>
          <w:rFonts w:eastAsia="Arial"/>
          <w:sz w:val="24"/>
          <w:szCs w:val="24"/>
          <w:lang w:val="en-US"/>
        </w:rPr>
        <w:t xml:space="preserve"> by </w:t>
      </w:r>
      <w:r w:rsidR="005820A8" w:rsidRPr="000F5D09">
        <w:rPr>
          <w:rFonts w:eastAsia="Arial"/>
          <w:sz w:val="24"/>
          <w:szCs w:val="24"/>
          <w:lang w:val="en-US"/>
        </w:rPr>
        <w:t>Sheriff Hieatt</w:t>
      </w:r>
      <w:r w:rsidR="00813B30" w:rsidRPr="000F5D09">
        <w:rPr>
          <w:rFonts w:eastAsia="Arial"/>
          <w:sz w:val="24"/>
          <w:szCs w:val="24"/>
          <w:lang w:val="en-US"/>
        </w:rPr>
        <w:t>. The motion passed by majority vote</w:t>
      </w:r>
      <w:r w:rsidR="00711401" w:rsidRPr="000F5D09">
        <w:rPr>
          <w:rFonts w:eastAsia="Arial"/>
          <w:sz w:val="24"/>
          <w:szCs w:val="24"/>
          <w:lang w:val="en-US"/>
        </w:rPr>
        <w:t xml:space="preserve"> with one opposed</w:t>
      </w:r>
      <w:r w:rsidR="00813B30" w:rsidRPr="000F5D09">
        <w:rPr>
          <w:rFonts w:eastAsia="Arial"/>
          <w:sz w:val="24"/>
          <w:szCs w:val="24"/>
          <w:lang w:val="en-US"/>
        </w:rPr>
        <w:t xml:space="preserve">. Recusals are noted in the attachment to the minutes. </w:t>
      </w:r>
    </w:p>
    <w:p w14:paraId="46AAEEFE" w14:textId="77777777" w:rsidR="009F2F1E" w:rsidRPr="000F5D09" w:rsidRDefault="009F2F1E" w:rsidP="004221BF">
      <w:pPr>
        <w:tabs>
          <w:tab w:val="left" w:pos="1620"/>
          <w:tab w:val="left" w:pos="2520"/>
        </w:tabs>
        <w:spacing w:line="240" w:lineRule="auto"/>
        <w:ind w:left="360"/>
        <w:rPr>
          <w:rFonts w:eastAsia="Arial"/>
          <w:sz w:val="24"/>
          <w:szCs w:val="24"/>
          <w:lang w:val="en-US"/>
        </w:rPr>
      </w:pPr>
    </w:p>
    <w:p w14:paraId="036FCD2D" w14:textId="7940CC6F" w:rsidR="00697617" w:rsidRPr="00C64747"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C64747">
        <w:rPr>
          <w:b/>
          <w:bCs/>
          <w:color w:val="000000"/>
          <w:sz w:val="24"/>
          <w:szCs w:val="24"/>
          <w:lang w:val="en-US"/>
        </w:rPr>
        <w:t>Byrne Justice Assistance Grant Program (BJAG Critical Incident</w:t>
      </w:r>
      <w:r w:rsidRPr="00C64747">
        <w:rPr>
          <w:rFonts w:eastAsia="Arial"/>
          <w:b/>
          <w:bCs/>
          <w:sz w:val="24"/>
          <w:szCs w:val="24"/>
          <w:lang w:val="en-US"/>
        </w:rPr>
        <w:t>)</w:t>
      </w:r>
    </w:p>
    <w:p w14:paraId="0805CD3C" w14:textId="77777777" w:rsidR="00547316" w:rsidRPr="00547316" w:rsidRDefault="00547316" w:rsidP="004221BF">
      <w:pPr>
        <w:tabs>
          <w:tab w:val="left" w:pos="1620"/>
          <w:tab w:val="left" w:pos="2520"/>
        </w:tabs>
        <w:spacing w:line="240" w:lineRule="auto"/>
        <w:ind w:left="360"/>
        <w:rPr>
          <w:rFonts w:eastAsia="Arial"/>
          <w:sz w:val="24"/>
          <w:szCs w:val="24"/>
          <w:lang w:val="en-US"/>
        </w:rPr>
      </w:pPr>
      <w:r w:rsidRPr="00547316">
        <w:rPr>
          <w:rFonts w:eastAsia="Arial"/>
          <w:sz w:val="24"/>
          <w:szCs w:val="24"/>
          <w:lang w:val="en-US"/>
        </w:rPr>
        <w:t xml:space="preserve">The purpose of Edward Byrne Memorial Justice Assistance Grant (JAG) funds is to allow states and units of local government, including tribes, to support a broad range of activities to prevent and control crime based on their own state and local needs and conditions. As the State Administrative Agency (SAA), DCJS has the responsibility of managing the </w:t>
      </w:r>
      <w:r w:rsidRPr="00547316">
        <w:rPr>
          <w:rFonts w:eastAsia="Arial"/>
          <w:sz w:val="24"/>
          <w:szCs w:val="24"/>
          <w:lang w:val="en-US"/>
        </w:rPr>
        <w:lastRenderedPageBreak/>
        <w:t>coordination and distribution of JAG funds in a manner that supports and improves the overall criminal justice system of the Commonwealth of Virginia.</w:t>
      </w:r>
    </w:p>
    <w:p w14:paraId="03519BC5" w14:textId="42C46E75" w:rsidR="00697617" w:rsidRPr="000F5D09" w:rsidRDefault="00547316"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The current award will provide funding and support personnel for critical training initiatives for law enforcement throughout the Commonwealth. The DCJS Critical Incident Preparedness and Response Training Program, formerly the Active Attack Program, trains citizens to become “immediate responders” during critical incidents and first responders to support communities during and after active attack incidents.</w:t>
      </w:r>
      <w:r w:rsidR="00C73A1F">
        <w:rPr>
          <w:rFonts w:eastAsia="Arial"/>
          <w:sz w:val="24"/>
          <w:szCs w:val="24"/>
          <w:lang w:val="en-US"/>
        </w:rPr>
        <w:t xml:space="preserve"> </w:t>
      </w:r>
    </w:p>
    <w:p w14:paraId="346F844E" w14:textId="7CB1D2ED" w:rsidR="00547316" w:rsidRPr="00547316" w:rsidRDefault="00547316" w:rsidP="004221BF">
      <w:pPr>
        <w:tabs>
          <w:tab w:val="left" w:pos="1620"/>
          <w:tab w:val="left" w:pos="2520"/>
        </w:tabs>
        <w:spacing w:line="240" w:lineRule="auto"/>
        <w:ind w:left="360"/>
        <w:rPr>
          <w:rFonts w:eastAsia="Arial"/>
          <w:sz w:val="24"/>
          <w:szCs w:val="24"/>
          <w:lang w:val="en-US"/>
        </w:rPr>
      </w:pPr>
      <w:r w:rsidRPr="00547316">
        <w:rPr>
          <w:rFonts w:eastAsia="Arial"/>
          <w:sz w:val="24"/>
          <w:szCs w:val="24"/>
          <w:lang w:val="en-US"/>
        </w:rPr>
        <w:t>No applications were denied.</w:t>
      </w:r>
    </w:p>
    <w:p w14:paraId="01C7DF4A" w14:textId="11491B03" w:rsidR="00547316" w:rsidRPr="000F5D09" w:rsidRDefault="00547316" w:rsidP="004221BF">
      <w:pPr>
        <w:tabs>
          <w:tab w:val="left" w:pos="1620"/>
          <w:tab w:val="left" w:pos="2520"/>
        </w:tabs>
        <w:spacing w:line="240" w:lineRule="auto"/>
        <w:ind w:left="360"/>
        <w:rPr>
          <w:rFonts w:eastAsia="Arial"/>
          <w:b/>
          <w:bCs/>
          <w:sz w:val="24"/>
          <w:szCs w:val="24"/>
          <w:lang w:val="en-US"/>
        </w:rPr>
      </w:pPr>
      <w:r w:rsidRPr="00547316">
        <w:rPr>
          <w:rFonts w:eastAsia="Arial"/>
          <w:b/>
          <w:bCs/>
          <w:sz w:val="24"/>
          <w:szCs w:val="24"/>
          <w:lang w:val="en-US"/>
        </w:rPr>
        <w:t xml:space="preserve">In summary, DCJS staff request approval to fund one (1) grant application for the 12-month period (7/1/2025-6/30/2026) totaling $869,000, using federal JAG funding allocated for this purpose. </w:t>
      </w:r>
    </w:p>
    <w:p w14:paraId="200E8972" w14:textId="6B2AC595" w:rsidR="00813B30" w:rsidRPr="000F5D09" w:rsidRDefault="00813B30"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A motion was made by </w:t>
      </w:r>
      <w:r w:rsidR="00115A93" w:rsidRPr="000F5D09">
        <w:rPr>
          <w:rFonts w:eastAsia="Arial"/>
          <w:sz w:val="24"/>
          <w:szCs w:val="24"/>
          <w:lang w:val="en-US"/>
        </w:rPr>
        <w:t>Mr. McGuire and seconded</w:t>
      </w:r>
      <w:r w:rsidRPr="000F5D09">
        <w:rPr>
          <w:rFonts w:eastAsia="Arial"/>
          <w:sz w:val="24"/>
          <w:szCs w:val="24"/>
          <w:lang w:val="en-US"/>
        </w:rPr>
        <w:t xml:space="preserve"> by </w:t>
      </w:r>
      <w:r w:rsidR="005820A8" w:rsidRPr="000F5D09">
        <w:rPr>
          <w:rFonts w:eastAsia="Arial"/>
          <w:sz w:val="24"/>
          <w:szCs w:val="24"/>
          <w:lang w:val="en-US"/>
        </w:rPr>
        <w:t>Ms. Clark</w:t>
      </w:r>
      <w:r w:rsidRPr="000F5D09">
        <w:rPr>
          <w:rFonts w:eastAsia="Arial"/>
          <w:sz w:val="24"/>
          <w:szCs w:val="24"/>
          <w:lang w:val="en-US"/>
        </w:rPr>
        <w:t xml:space="preserve">. The motion passed by majority vote. Recusals are noted in the attachment to the minutes. </w:t>
      </w:r>
    </w:p>
    <w:p w14:paraId="1778E94C" w14:textId="77777777" w:rsidR="00547316" w:rsidRPr="000F5D09" w:rsidRDefault="00547316" w:rsidP="004221BF">
      <w:pPr>
        <w:tabs>
          <w:tab w:val="left" w:pos="1620"/>
          <w:tab w:val="left" w:pos="2520"/>
        </w:tabs>
        <w:spacing w:line="240" w:lineRule="auto"/>
        <w:ind w:left="360"/>
        <w:rPr>
          <w:rFonts w:eastAsia="Arial"/>
          <w:sz w:val="24"/>
          <w:szCs w:val="24"/>
          <w:lang w:val="en-US"/>
        </w:rPr>
      </w:pPr>
    </w:p>
    <w:p w14:paraId="3570E28C" w14:textId="7D7E98EA" w:rsidR="00697617" w:rsidRPr="00C64747" w:rsidRDefault="00813B30" w:rsidP="004221BF">
      <w:pPr>
        <w:pStyle w:val="ListParagraph"/>
        <w:numPr>
          <w:ilvl w:val="0"/>
          <w:numId w:val="6"/>
        </w:numPr>
        <w:tabs>
          <w:tab w:val="left" w:pos="1620"/>
          <w:tab w:val="left" w:pos="2520"/>
        </w:tabs>
        <w:spacing w:line="240" w:lineRule="auto"/>
        <w:ind w:left="360"/>
        <w:rPr>
          <w:rFonts w:eastAsia="Arial"/>
          <w:b/>
          <w:bCs/>
          <w:sz w:val="24"/>
          <w:szCs w:val="24"/>
          <w:lang w:val="en-US"/>
        </w:rPr>
      </w:pPr>
      <w:r w:rsidRPr="00C64747">
        <w:rPr>
          <w:b/>
          <w:bCs/>
          <w:color w:val="000000"/>
          <w:sz w:val="24"/>
          <w:szCs w:val="24"/>
          <w:lang w:val="en-US"/>
        </w:rPr>
        <w:t>Office of First Responder Wellness Grant Program (OFRW) (Reconsideration</w:t>
      </w:r>
      <w:r w:rsidRPr="00C64747">
        <w:rPr>
          <w:rFonts w:eastAsia="Arial"/>
          <w:b/>
          <w:bCs/>
          <w:sz w:val="24"/>
          <w:szCs w:val="24"/>
          <w:lang w:val="en-US"/>
        </w:rPr>
        <w:t>)</w:t>
      </w:r>
    </w:p>
    <w:p w14:paraId="168C3BD2" w14:textId="73345F70" w:rsidR="003516AD" w:rsidRPr="000F5D09" w:rsidRDefault="003516AD" w:rsidP="004221BF">
      <w:pPr>
        <w:tabs>
          <w:tab w:val="left" w:pos="1620"/>
          <w:tab w:val="left" w:pos="2520"/>
        </w:tabs>
        <w:spacing w:line="240" w:lineRule="auto"/>
        <w:ind w:left="360"/>
        <w:rPr>
          <w:rFonts w:eastAsia="Arial"/>
          <w:sz w:val="24"/>
          <w:szCs w:val="24"/>
        </w:rPr>
      </w:pPr>
      <w:r w:rsidRPr="000F5D09">
        <w:rPr>
          <w:rFonts w:eastAsia="Arial"/>
          <w:sz w:val="24"/>
          <w:szCs w:val="24"/>
        </w:rPr>
        <w:t>The purpose of the Office of First Responder Wellness Grant Program is to provide resources to first responder agencies and non-profit organizations to fund first responder wellness training for agency employees; fund registration fees, lodging, and per diem for agency employees to attend first responder wellness conferences; fund support costs for therapy/ support dogs; fund the purchase of therapeutic wellness equipment; and provide funding for non-profit agencies to provide wellness training, resources, or direct services to first responders in the Commonwealth of Virginia. Executive Order 38 directed DCJS to award up to $2,700,000.</w:t>
      </w:r>
    </w:p>
    <w:p w14:paraId="5D46EC26" w14:textId="6EA22E0A" w:rsidR="003516AD" w:rsidRPr="003516AD" w:rsidRDefault="003516AD" w:rsidP="004221BF">
      <w:pPr>
        <w:tabs>
          <w:tab w:val="left" w:pos="1620"/>
          <w:tab w:val="left" w:pos="2520"/>
        </w:tabs>
        <w:spacing w:line="240" w:lineRule="auto"/>
        <w:ind w:left="360"/>
        <w:rPr>
          <w:rFonts w:eastAsia="Arial"/>
          <w:sz w:val="24"/>
          <w:szCs w:val="24"/>
          <w:lang w:val="en-US"/>
        </w:rPr>
      </w:pPr>
      <w:r w:rsidRPr="003516AD">
        <w:rPr>
          <w:rFonts w:eastAsia="Arial"/>
          <w:sz w:val="24"/>
          <w:szCs w:val="24"/>
          <w:lang w:val="en-US"/>
        </w:rPr>
        <w:t xml:space="preserve">The Criminal Justice Services Board previously approved </w:t>
      </w:r>
      <w:r w:rsidR="00C73A1F">
        <w:rPr>
          <w:rFonts w:eastAsia="Arial"/>
          <w:sz w:val="24"/>
          <w:szCs w:val="24"/>
          <w:lang w:val="en-US"/>
        </w:rPr>
        <w:t>seventy-</w:t>
      </w:r>
      <w:r w:rsidRPr="003516AD">
        <w:rPr>
          <w:rFonts w:eastAsia="Arial"/>
          <w:sz w:val="24"/>
          <w:szCs w:val="24"/>
          <w:lang w:val="en-US"/>
        </w:rPr>
        <w:t xml:space="preserve">seven (77) grant applications for $1,588,597 in May 2025 out of available funding of $2.7 million for FY2025. DCJS is requesting that three (3) applications be reconsidered for approval. Upon further communication and consideration into the requests for the mobile Guide Application (App) it was determined that this mobile application provides first responder wellness training which aligns with the goals of the funding opportunity. Staff recommends funding the applications for the Department of Corrections and Lynchburg. </w:t>
      </w:r>
    </w:p>
    <w:p w14:paraId="61BC7097" w14:textId="608480F5" w:rsidR="003516AD" w:rsidRPr="003516AD" w:rsidRDefault="003516AD" w:rsidP="004221BF">
      <w:pPr>
        <w:tabs>
          <w:tab w:val="left" w:pos="1620"/>
          <w:tab w:val="left" w:pos="2520"/>
        </w:tabs>
        <w:spacing w:line="240" w:lineRule="auto"/>
        <w:ind w:left="360"/>
        <w:rPr>
          <w:rFonts w:eastAsia="Arial"/>
          <w:sz w:val="24"/>
          <w:szCs w:val="24"/>
          <w:lang w:val="en-US"/>
        </w:rPr>
      </w:pPr>
      <w:r w:rsidRPr="003516AD">
        <w:rPr>
          <w:rFonts w:eastAsia="Arial"/>
          <w:sz w:val="24"/>
          <w:szCs w:val="24"/>
          <w:lang w:val="en-US"/>
        </w:rPr>
        <w:t xml:space="preserve">Staff recommends an increase of $10,500 to the previously approved award to the Town of Vinton, to support their request for the Guide App for their community. Other items from their original application to support physical training gear purchases are not being reconsidered. </w:t>
      </w:r>
    </w:p>
    <w:p w14:paraId="08F3B2FB" w14:textId="6D6E55B8" w:rsidR="003516AD" w:rsidRPr="000F5D09" w:rsidRDefault="003516AD" w:rsidP="004221BF">
      <w:pPr>
        <w:tabs>
          <w:tab w:val="left" w:pos="1620"/>
          <w:tab w:val="left" w:pos="2520"/>
        </w:tabs>
        <w:spacing w:line="240" w:lineRule="auto"/>
        <w:ind w:left="360"/>
        <w:rPr>
          <w:rFonts w:eastAsia="Arial"/>
          <w:b/>
          <w:bCs/>
          <w:sz w:val="24"/>
          <w:szCs w:val="24"/>
          <w:lang w:val="en-US"/>
        </w:rPr>
      </w:pPr>
      <w:r w:rsidRPr="003516AD">
        <w:rPr>
          <w:rFonts w:eastAsia="Arial"/>
          <w:b/>
          <w:bCs/>
          <w:sz w:val="24"/>
          <w:szCs w:val="24"/>
          <w:lang w:val="en-US"/>
        </w:rPr>
        <w:t xml:space="preserve">In summary, DCJS Staff requests approval to fund three (3) grant applications for the 12-month period (7/1/2025–6/30/2026), totaling $81,364 using state funds allocated for this purpose. </w:t>
      </w:r>
    </w:p>
    <w:p w14:paraId="7FDD22E0" w14:textId="302EB52B" w:rsidR="00813B30" w:rsidRPr="000F5D09" w:rsidRDefault="00FE0F2C" w:rsidP="004221BF">
      <w:pPr>
        <w:tabs>
          <w:tab w:val="left" w:pos="1620"/>
          <w:tab w:val="left" w:pos="2520"/>
        </w:tabs>
        <w:spacing w:line="240" w:lineRule="auto"/>
        <w:ind w:left="360"/>
        <w:rPr>
          <w:rFonts w:eastAsia="Arial"/>
          <w:sz w:val="24"/>
          <w:szCs w:val="24"/>
          <w:lang w:val="en-US"/>
        </w:rPr>
      </w:pPr>
      <w:r w:rsidRPr="000F5D09">
        <w:rPr>
          <w:rFonts w:eastAsia="Arial"/>
          <w:sz w:val="24"/>
          <w:szCs w:val="24"/>
          <w:lang w:val="en-US"/>
        </w:rPr>
        <w:t xml:space="preserve">There </w:t>
      </w:r>
      <w:r w:rsidR="00C6545E" w:rsidRPr="000F5D09">
        <w:rPr>
          <w:rFonts w:eastAsia="Arial"/>
          <w:sz w:val="24"/>
          <w:szCs w:val="24"/>
          <w:lang w:val="en-US"/>
        </w:rPr>
        <w:t>were</w:t>
      </w:r>
      <w:r w:rsidRPr="000F5D09">
        <w:rPr>
          <w:rFonts w:eastAsia="Arial"/>
          <w:sz w:val="24"/>
          <w:szCs w:val="24"/>
          <w:lang w:val="en-US"/>
        </w:rPr>
        <w:t xml:space="preserve"> discussion</w:t>
      </w:r>
      <w:r w:rsidR="00C6545E" w:rsidRPr="000F5D09">
        <w:rPr>
          <w:rFonts w:eastAsia="Arial"/>
          <w:sz w:val="24"/>
          <w:szCs w:val="24"/>
          <w:lang w:val="en-US"/>
        </w:rPr>
        <w:t>s on</w:t>
      </w:r>
      <w:r w:rsidRPr="000F5D09">
        <w:rPr>
          <w:rFonts w:eastAsia="Arial"/>
          <w:sz w:val="24"/>
          <w:szCs w:val="24"/>
          <w:lang w:val="en-US"/>
        </w:rPr>
        <w:t xml:space="preserve"> </w:t>
      </w:r>
      <w:r w:rsidR="00C6545E" w:rsidRPr="000F5D09">
        <w:rPr>
          <w:rFonts w:eastAsia="Arial"/>
          <w:sz w:val="24"/>
          <w:szCs w:val="24"/>
          <w:lang w:val="en-US"/>
        </w:rPr>
        <w:t xml:space="preserve">summaries provided by applicants and that the reconsideration was requested by DCJS. </w:t>
      </w:r>
      <w:r w:rsidR="00BB5398">
        <w:rPr>
          <w:rFonts w:eastAsia="Arial"/>
          <w:sz w:val="24"/>
          <w:szCs w:val="24"/>
          <w:lang w:val="en-US"/>
        </w:rPr>
        <w:t xml:space="preserve">CJSB Committee Members also requested additional training for grantees and technical assistance to improve the quality of the grant project descriptions. </w:t>
      </w:r>
      <w:r w:rsidR="00813B30" w:rsidRPr="000F5D09">
        <w:rPr>
          <w:rFonts w:eastAsia="Arial"/>
          <w:sz w:val="24"/>
          <w:szCs w:val="24"/>
          <w:lang w:val="en-US"/>
        </w:rPr>
        <w:t xml:space="preserve">A motion was made by </w:t>
      </w:r>
      <w:r w:rsidR="00115A93" w:rsidRPr="000F5D09">
        <w:rPr>
          <w:rFonts w:eastAsia="Arial"/>
          <w:sz w:val="24"/>
          <w:szCs w:val="24"/>
          <w:lang w:val="en-US"/>
        </w:rPr>
        <w:t>Ms. Clark and seconded</w:t>
      </w:r>
      <w:r w:rsidR="00813B30" w:rsidRPr="000F5D09">
        <w:rPr>
          <w:rFonts w:eastAsia="Arial"/>
          <w:sz w:val="24"/>
          <w:szCs w:val="24"/>
          <w:lang w:val="en-US"/>
        </w:rPr>
        <w:t xml:space="preserve"> by </w:t>
      </w:r>
      <w:r w:rsidR="005820A8" w:rsidRPr="000F5D09">
        <w:rPr>
          <w:rFonts w:eastAsia="Arial"/>
          <w:sz w:val="24"/>
          <w:szCs w:val="24"/>
          <w:lang w:val="en-US"/>
        </w:rPr>
        <w:t>Sheriff Hieatt</w:t>
      </w:r>
      <w:r w:rsidR="00813B30" w:rsidRPr="000F5D09">
        <w:rPr>
          <w:rFonts w:eastAsia="Arial"/>
          <w:sz w:val="24"/>
          <w:szCs w:val="24"/>
          <w:lang w:val="en-US"/>
        </w:rPr>
        <w:t xml:space="preserve">. The motion passed by majority vote. Recusals are noted in the attachment to the minutes. </w:t>
      </w:r>
    </w:p>
    <w:p w14:paraId="090489D0" w14:textId="77777777" w:rsidR="002058F5" w:rsidRPr="000F5D09" w:rsidRDefault="002058F5" w:rsidP="002058F5">
      <w:pPr>
        <w:pStyle w:val="ListParagraph"/>
        <w:tabs>
          <w:tab w:val="left" w:pos="1620"/>
          <w:tab w:val="left" w:pos="2520"/>
        </w:tabs>
        <w:spacing w:line="240" w:lineRule="auto"/>
        <w:ind w:left="1260"/>
        <w:rPr>
          <w:rFonts w:eastAsia="Arial"/>
          <w:sz w:val="24"/>
          <w:szCs w:val="24"/>
          <w:lang w:val="en-US"/>
        </w:rPr>
      </w:pPr>
    </w:p>
    <w:p w14:paraId="683B8315" w14:textId="77777777" w:rsidR="00891741" w:rsidRPr="000F5D09" w:rsidRDefault="00C51313" w:rsidP="008662C5">
      <w:pPr>
        <w:pStyle w:val="ListParagraph"/>
        <w:numPr>
          <w:ilvl w:val="0"/>
          <w:numId w:val="2"/>
        </w:numPr>
        <w:tabs>
          <w:tab w:val="left" w:pos="900"/>
        </w:tabs>
        <w:spacing w:before="0" w:after="240" w:line="240" w:lineRule="auto"/>
        <w:ind w:left="0"/>
        <w:contextualSpacing w:val="0"/>
        <w:rPr>
          <w:rFonts w:eastAsia="Arial"/>
          <w:b/>
          <w:sz w:val="24"/>
          <w:szCs w:val="24"/>
        </w:rPr>
      </w:pPr>
      <w:r w:rsidRPr="000F5D09">
        <w:rPr>
          <w:rFonts w:eastAsia="Arial"/>
          <w:b/>
          <w:sz w:val="24"/>
          <w:szCs w:val="24"/>
        </w:rPr>
        <w:lastRenderedPageBreak/>
        <w:t>Old Business</w:t>
      </w:r>
    </w:p>
    <w:p w14:paraId="2C4C1144" w14:textId="1CF54022" w:rsidR="00C51313" w:rsidRPr="000F5D09" w:rsidRDefault="00891741" w:rsidP="008662C5">
      <w:pPr>
        <w:tabs>
          <w:tab w:val="left" w:pos="900"/>
        </w:tabs>
        <w:spacing w:before="0" w:after="240" w:line="240" w:lineRule="auto"/>
        <w:rPr>
          <w:rFonts w:eastAsia="Arial"/>
          <w:b/>
          <w:sz w:val="24"/>
          <w:szCs w:val="24"/>
        </w:rPr>
      </w:pPr>
      <w:r w:rsidRPr="000F5D09">
        <w:rPr>
          <w:rFonts w:eastAsia="Arial"/>
          <w:bCs/>
          <w:sz w:val="24"/>
          <w:szCs w:val="24"/>
        </w:rPr>
        <w:t>No Old Business was b</w:t>
      </w:r>
      <w:r w:rsidR="00F70A98" w:rsidRPr="000F5D09">
        <w:rPr>
          <w:rFonts w:eastAsia="Arial"/>
          <w:bCs/>
          <w:sz w:val="24"/>
          <w:szCs w:val="24"/>
        </w:rPr>
        <w:t>ought forth at this meeting</w:t>
      </w:r>
      <w:r w:rsidR="00C73A1F">
        <w:rPr>
          <w:rFonts w:eastAsia="Arial"/>
          <w:bCs/>
          <w:sz w:val="24"/>
          <w:szCs w:val="24"/>
        </w:rPr>
        <w:t>.</w:t>
      </w:r>
    </w:p>
    <w:p w14:paraId="7D3F197E" w14:textId="77777777" w:rsidR="00C51313" w:rsidRPr="000F5D09" w:rsidRDefault="00C51313" w:rsidP="008662C5">
      <w:pPr>
        <w:pStyle w:val="ListParagraph"/>
        <w:numPr>
          <w:ilvl w:val="0"/>
          <w:numId w:val="2"/>
        </w:numPr>
        <w:tabs>
          <w:tab w:val="left" w:pos="900"/>
        </w:tabs>
        <w:spacing w:before="0" w:after="240" w:line="240" w:lineRule="auto"/>
        <w:ind w:left="0"/>
        <w:contextualSpacing w:val="0"/>
        <w:rPr>
          <w:rFonts w:eastAsia="Arial"/>
          <w:b/>
          <w:sz w:val="24"/>
          <w:szCs w:val="24"/>
        </w:rPr>
      </w:pPr>
      <w:r w:rsidRPr="000F5D09">
        <w:rPr>
          <w:rFonts w:eastAsia="Arial"/>
          <w:b/>
          <w:sz w:val="24"/>
          <w:szCs w:val="24"/>
        </w:rPr>
        <w:t>New Business</w:t>
      </w:r>
    </w:p>
    <w:p w14:paraId="389C1B7E" w14:textId="5AAF8658" w:rsidR="00F70A98" w:rsidRPr="000F5D09" w:rsidRDefault="00E515E9" w:rsidP="008662C5">
      <w:pPr>
        <w:tabs>
          <w:tab w:val="left" w:pos="900"/>
        </w:tabs>
        <w:spacing w:before="0" w:after="240" w:line="240" w:lineRule="auto"/>
        <w:rPr>
          <w:rFonts w:eastAsia="Arial"/>
          <w:bCs/>
          <w:sz w:val="24"/>
          <w:szCs w:val="24"/>
        </w:rPr>
      </w:pPr>
      <w:r w:rsidRPr="000F5D09">
        <w:rPr>
          <w:rFonts w:eastAsia="Arial"/>
          <w:bCs/>
          <w:sz w:val="24"/>
          <w:szCs w:val="24"/>
        </w:rPr>
        <w:t xml:space="preserve">No New Business was bought forth at the meeting. </w:t>
      </w:r>
    </w:p>
    <w:p w14:paraId="78C1F506" w14:textId="77777777" w:rsidR="00C51313" w:rsidRPr="000F5D09" w:rsidRDefault="00C51313" w:rsidP="008662C5">
      <w:pPr>
        <w:pStyle w:val="ListParagraph"/>
        <w:numPr>
          <w:ilvl w:val="0"/>
          <w:numId w:val="2"/>
        </w:numPr>
        <w:tabs>
          <w:tab w:val="left" w:pos="900"/>
        </w:tabs>
        <w:spacing w:before="0" w:after="240" w:line="240" w:lineRule="auto"/>
        <w:ind w:left="0"/>
        <w:contextualSpacing w:val="0"/>
        <w:rPr>
          <w:rFonts w:eastAsia="Arial"/>
          <w:b/>
          <w:sz w:val="24"/>
          <w:szCs w:val="24"/>
        </w:rPr>
      </w:pPr>
      <w:r w:rsidRPr="000F5D09">
        <w:rPr>
          <w:rFonts w:eastAsia="Arial"/>
          <w:b/>
          <w:sz w:val="24"/>
          <w:szCs w:val="24"/>
        </w:rPr>
        <w:t>Public Comment</w:t>
      </w:r>
    </w:p>
    <w:p w14:paraId="30E1F01B" w14:textId="3F535C91" w:rsidR="000F7709" w:rsidRPr="000F5D09" w:rsidRDefault="000F7709" w:rsidP="008662C5">
      <w:pPr>
        <w:tabs>
          <w:tab w:val="left" w:pos="900"/>
        </w:tabs>
        <w:spacing w:before="0" w:after="240" w:line="240" w:lineRule="auto"/>
        <w:rPr>
          <w:rFonts w:eastAsia="Arial"/>
          <w:bCs/>
          <w:sz w:val="24"/>
          <w:szCs w:val="24"/>
        </w:rPr>
      </w:pPr>
      <w:r w:rsidRPr="000F5D09">
        <w:rPr>
          <w:rFonts w:eastAsia="Arial"/>
          <w:bCs/>
          <w:sz w:val="24"/>
          <w:szCs w:val="24"/>
        </w:rPr>
        <w:t>No Public Comment was bought forth at this meeting.</w:t>
      </w:r>
    </w:p>
    <w:p w14:paraId="7DB1B485" w14:textId="785AD6AD" w:rsidR="000F7709" w:rsidRPr="000F5D09" w:rsidRDefault="00F37811" w:rsidP="008662C5">
      <w:pPr>
        <w:pStyle w:val="ListParagraph"/>
        <w:numPr>
          <w:ilvl w:val="0"/>
          <w:numId w:val="2"/>
        </w:numPr>
        <w:tabs>
          <w:tab w:val="left" w:pos="900"/>
        </w:tabs>
        <w:spacing w:before="0" w:after="240" w:line="240" w:lineRule="auto"/>
        <w:ind w:left="0"/>
        <w:contextualSpacing w:val="0"/>
        <w:rPr>
          <w:rFonts w:eastAsia="Arial"/>
          <w:b/>
          <w:sz w:val="24"/>
          <w:szCs w:val="24"/>
        </w:rPr>
      </w:pPr>
      <w:r w:rsidRPr="000F5D09">
        <w:rPr>
          <w:rFonts w:eastAsia="Arial"/>
          <w:b/>
          <w:sz w:val="24"/>
          <w:szCs w:val="24"/>
        </w:rPr>
        <w:t>Announcements</w:t>
      </w:r>
    </w:p>
    <w:p w14:paraId="798599E5" w14:textId="195F13C4" w:rsidR="00F37811" w:rsidRPr="000F5D09" w:rsidRDefault="00F37811" w:rsidP="008662C5">
      <w:pPr>
        <w:tabs>
          <w:tab w:val="left" w:pos="900"/>
        </w:tabs>
        <w:spacing w:before="0" w:after="240" w:line="240" w:lineRule="auto"/>
        <w:rPr>
          <w:rFonts w:eastAsia="Arial"/>
          <w:bCs/>
          <w:sz w:val="24"/>
          <w:szCs w:val="24"/>
        </w:rPr>
      </w:pPr>
      <w:r w:rsidRPr="000F5D09">
        <w:rPr>
          <w:rFonts w:eastAsia="Arial"/>
          <w:bCs/>
          <w:sz w:val="24"/>
          <w:szCs w:val="24"/>
        </w:rPr>
        <w:t>Chief Branch announced that</w:t>
      </w:r>
      <w:r w:rsidR="00A5263E" w:rsidRPr="000F5D09">
        <w:rPr>
          <w:rFonts w:eastAsia="Arial"/>
          <w:bCs/>
          <w:sz w:val="24"/>
          <w:szCs w:val="24"/>
        </w:rPr>
        <w:t xml:space="preserve"> </w:t>
      </w:r>
      <w:r w:rsidR="00BA5A28" w:rsidRPr="000F5D09">
        <w:rPr>
          <w:rFonts w:eastAsia="Arial"/>
          <w:bCs/>
          <w:sz w:val="24"/>
          <w:szCs w:val="24"/>
        </w:rPr>
        <w:t xml:space="preserve">the next Grants Committee meeting will be held September </w:t>
      </w:r>
      <w:r w:rsidR="000A44A6" w:rsidRPr="000F5D09">
        <w:rPr>
          <w:rFonts w:eastAsia="Arial"/>
          <w:bCs/>
          <w:sz w:val="24"/>
          <w:szCs w:val="24"/>
        </w:rPr>
        <w:t>25</w:t>
      </w:r>
      <w:r w:rsidR="00BA5A28" w:rsidRPr="000F5D09">
        <w:rPr>
          <w:rFonts w:eastAsia="Arial"/>
          <w:bCs/>
          <w:sz w:val="24"/>
          <w:szCs w:val="24"/>
        </w:rPr>
        <w:t>, 2025.</w:t>
      </w:r>
    </w:p>
    <w:p w14:paraId="46FFEE65" w14:textId="3D60DE74" w:rsidR="0085414E" w:rsidRPr="000F5D09" w:rsidRDefault="00C51313" w:rsidP="008662C5">
      <w:pPr>
        <w:pStyle w:val="ListParagraph"/>
        <w:numPr>
          <w:ilvl w:val="0"/>
          <w:numId w:val="2"/>
        </w:numPr>
        <w:tabs>
          <w:tab w:val="left" w:pos="900"/>
        </w:tabs>
        <w:spacing w:before="0" w:after="240" w:line="240" w:lineRule="auto"/>
        <w:ind w:left="0"/>
        <w:contextualSpacing w:val="0"/>
        <w:rPr>
          <w:rFonts w:eastAsia="Arial"/>
          <w:b/>
          <w:sz w:val="24"/>
          <w:szCs w:val="24"/>
        </w:rPr>
      </w:pPr>
      <w:r w:rsidRPr="000F5D09">
        <w:rPr>
          <w:rFonts w:eastAsia="Arial"/>
          <w:b/>
          <w:sz w:val="24"/>
          <w:szCs w:val="24"/>
        </w:rPr>
        <w:t>Adjournment</w:t>
      </w:r>
    </w:p>
    <w:p w14:paraId="47E4575E" w14:textId="5962ADFC" w:rsidR="00F37811" w:rsidRDefault="00F37811" w:rsidP="008662C5">
      <w:pPr>
        <w:tabs>
          <w:tab w:val="left" w:pos="900"/>
        </w:tabs>
        <w:spacing w:before="0" w:after="240" w:line="240" w:lineRule="auto"/>
        <w:rPr>
          <w:rFonts w:eastAsia="Arial"/>
          <w:bCs/>
          <w:sz w:val="24"/>
          <w:szCs w:val="24"/>
        </w:rPr>
      </w:pPr>
      <w:r w:rsidRPr="000F5D09">
        <w:rPr>
          <w:rFonts w:eastAsia="Arial"/>
          <w:bCs/>
          <w:sz w:val="24"/>
          <w:szCs w:val="24"/>
        </w:rPr>
        <w:t xml:space="preserve">The meeting adjourned at </w:t>
      </w:r>
      <w:r w:rsidR="009A356A" w:rsidRPr="000F5D09">
        <w:rPr>
          <w:rFonts w:eastAsia="Arial"/>
          <w:bCs/>
          <w:sz w:val="24"/>
          <w:szCs w:val="24"/>
        </w:rPr>
        <w:t>12:04</w:t>
      </w:r>
      <w:r w:rsidR="000A44A6" w:rsidRPr="000F5D09">
        <w:rPr>
          <w:rFonts w:eastAsia="Arial"/>
          <w:bCs/>
          <w:sz w:val="24"/>
          <w:szCs w:val="24"/>
        </w:rPr>
        <w:t xml:space="preserve"> PM</w:t>
      </w:r>
      <w:r w:rsidRPr="000F5D09">
        <w:rPr>
          <w:rFonts w:eastAsia="Arial"/>
          <w:bCs/>
          <w:sz w:val="24"/>
          <w:szCs w:val="24"/>
        </w:rPr>
        <w:t xml:space="preserve">. A motion was made by </w:t>
      </w:r>
      <w:r w:rsidR="00115A93" w:rsidRPr="000F5D09">
        <w:rPr>
          <w:rFonts w:eastAsia="Arial"/>
          <w:bCs/>
          <w:sz w:val="24"/>
          <w:szCs w:val="24"/>
        </w:rPr>
        <w:t>Mr. McGuire and seconded</w:t>
      </w:r>
      <w:r w:rsidRPr="000F5D09">
        <w:rPr>
          <w:rFonts w:eastAsia="Arial"/>
          <w:bCs/>
          <w:sz w:val="24"/>
          <w:szCs w:val="24"/>
        </w:rPr>
        <w:t xml:space="preserve"> by </w:t>
      </w:r>
      <w:r w:rsidR="005820A8" w:rsidRPr="000F5D09">
        <w:rPr>
          <w:rFonts w:eastAsia="Arial"/>
          <w:bCs/>
          <w:sz w:val="24"/>
          <w:szCs w:val="24"/>
        </w:rPr>
        <w:t>Ms. Clark</w:t>
      </w:r>
      <w:r w:rsidRPr="000F5D09">
        <w:rPr>
          <w:rFonts w:eastAsia="Arial"/>
          <w:bCs/>
          <w:sz w:val="24"/>
          <w:szCs w:val="24"/>
        </w:rPr>
        <w:t>. The motion passed unanimously.</w:t>
      </w:r>
    </w:p>
    <w:p w14:paraId="40EE2BD9" w14:textId="77777777" w:rsidR="006741D6" w:rsidRDefault="006741D6" w:rsidP="00F37811">
      <w:pPr>
        <w:tabs>
          <w:tab w:val="left" w:pos="2520"/>
        </w:tabs>
        <w:spacing w:before="0" w:line="240" w:lineRule="auto"/>
        <w:ind w:left="810"/>
        <w:jc w:val="both"/>
        <w:rPr>
          <w:rFonts w:eastAsia="Arial"/>
          <w:bCs/>
          <w:sz w:val="24"/>
          <w:szCs w:val="24"/>
        </w:rPr>
      </w:pPr>
    </w:p>
    <w:p w14:paraId="1B858A78" w14:textId="77777777" w:rsidR="006741D6" w:rsidRDefault="006741D6" w:rsidP="00F37811">
      <w:pPr>
        <w:tabs>
          <w:tab w:val="left" w:pos="2520"/>
        </w:tabs>
        <w:spacing w:before="0" w:line="240" w:lineRule="auto"/>
        <w:ind w:left="810"/>
        <w:jc w:val="both"/>
        <w:rPr>
          <w:rFonts w:eastAsia="Arial"/>
          <w:bCs/>
          <w:sz w:val="24"/>
          <w:szCs w:val="24"/>
        </w:rPr>
      </w:pPr>
    </w:p>
    <w:p w14:paraId="3012015D" w14:textId="251DB22A" w:rsidR="006741D6" w:rsidRPr="00C73A1F" w:rsidRDefault="00DA0050" w:rsidP="00B73497">
      <w:pPr>
        <w:tabs>
          <w:tab w:val="left" w:pos="4862"/>
        </w:tabs>
        <w:spacing w:before="0" w:line="240" w:lineRule="auto"/>
        <w:jc w:val="center"/>
        <w:rPr>
          <w:b/>
          <w:bCs/>
          <w:color w:val="000000" w:themeColor="text1"/>
          <w:sz w:val="24"/>
          <w:szCs w:val="24"/>
          <w:lang w:val="en-US"/>
        </w:rPr>
      </w:pPr>
      <w:r w:rsidRPr="00C73A1F">
        <w:rPr>
          <w:b/>
          <w:bCs/>
          <w:color w:val="000000" w:themeColor="text1"/>
          <w:sz w:val="24"/>
          <w:szCs w:val="24"/>
          <w:lang w:val="en-US"/>
        </w:rPr>
        <w:t>Recusals</w:t>
      </w:r>
    </w:p>
    <w:p w14:paraId="151AFC05" w14:textId="454D8873" w:rsidR="00740FEB" w:rsidRPr="00AB1716" w:rsidRDefault="008D3C34" w:rsidP="00740FEB">
      <w:pPr>
        <w:tabs>
          <w:tab w:val="left" w:pos="4862"/>
        </w:tabs>
        <w:rPr>
          <w:b/>
          <w:bCs/>
          <w:color w:val="000000" w:themeColor="text1"/>
        </w:rPr>
      </w:pPr>
      <w:r>
        <w:rPr>
          <w:b/>
          <w:bCs/>
          <w:color w:val="000000" w:themeColor="text1"/>
        </w:rPr>
        <w:t>Russell “Rusty” McGuire</w:t>
      </w:r>
    </w:p>
    <w:p w14:paraId="47431B3E" w14:textId="7CBA96EA" w:rsidR="00740FEB" w:rsidRPr="00AB1716" w:rsidRDefault="00740FEB" w:rsidP="00740FEB">
      <w:pPr>
        <w:pStyle w:val="ListParagraph"/>
        <w:numPr>
          <w:ilvl w:val="0"/>
          <w:numId w:val="8"/>
        </w:numPr>
        <w:tabs>
          <w:tab w:val="left" w:pos="4862"/>
        </w:tabs>
        <w:spacing w:before="0" w:line="240" w:lineRule="auto"/>
        <w:contextualSpacing w:val="0"/>
        <w:rPr>
          <w:color w:val="000000" w:themeColor="text1"/>
        </w:rPr>
      </w:pPr>
      <w:r w:rsidRPr="00AB1716">
        <w:rPr>
          <w:color w:val="000000" w:themeColor="text1"/>
        </w:rPr>
        <w:t>Application #</w:t>
      </w:r>
      <w:r w:rsidR="000415B0">
        <w:rPr>
          <w:color w:val="000000" w:themeColor="text1"/>
        </w:rPr>
        <w:t>553717</w:t>
      </w:r>
      <w:r w:rsidRPr="00AB1716">
        <w:rPr>
          <w:color w:val="000000" w:themeColor="text1"/>
        </w:rPr>
        <w:t xml:space="preserve"> - </w:t>
      </w:r>
      <w:r w:rsidR="000415B0">
        <w:rPr>
          <w:color w:val="000000" w:themeColor="text1"/>
        </w:rPr>
        <w:t>Louisa</w:t>
      </w:r>
      <w:r w:rsidRPr="00AB1716">
        <w:rPr>
          <w:color w:val="000000" w:themeColor="text1"/>
        </w:rPr>
        <w:t xml:space="preserve"> County</w:t>
      </w:r>
    </w:p>
    <w:p w14:paraId="501D1D46" w14:textId="77777777" w:rsidR="00A17927" w:rsidRDefault="00A17927" w:rsidP="00A17927">
      <w:pPr>
        <w:tabs>
          <w:tab w:val="left" w:pos="2520"/>
        </w:tabs>
        <w:spacing w:before="0" w:line="240" w:lineRule="auto"/>
        <w:rPr>
          <w:rFonts w:eastAsia="Arial"/>
          <w:bCs/>
          <w:sz w:val="24"/>
          <w:szCs w:val="24"/>
        </w:rPr>
      </w:pPr>
    </w:p>
    <w:p w14:paraId="7A4574CC" w14:textId="77777777" w:rsidR="00A17927" w:rsidRPr="00A17927" w:rsidRDefault="00A17927" w:rsidP="00A17927">
      <w:pPr>
        <w:spacing w:before="0" w:line="240" w:lineRule="auto"/>
        <w:rPr>
          <w:b/>
          <w:bCs/>
          <w:sz w:val="24"/>
          <w:szCs w:val="24"/>
          <w:lang w:val="en-US"/>
        </w:rPr>
      </w:pPr>
      <w:r w:rsidRPr="00A17927">
        <w:rPr>
          <w:b/>
          <w:bCs/>
          <w:sz w:val="24"/>
          <w:szCs w:val="24"/>
          <w:lang w:val="en-US"/>
        </w:rPr>
        <w:t xml:space="preserve">Chief Craig Branch, Chair </w:t>
      </w:r>
    </w:p>
    <w:p w14:paraId="45ADC242" w14:textId="4C77159A" w:rsidR="00A17927" w:rsidRDefault="00A17927" w:rsidP="00A17927">
      <w:pPr>
        <w:pStyle w:val="ListParagraph"/>
        <w:numPr>
          <w:ilvl w:val="0"/>
          <w:numId w:val="8"/>
        </w:numPr>
        <w:spacing w:before="0" w:line="240" w:lineRule="auto"/>
        <w:rPr>
          <w:sz w:val="24"/>
          <w:szCs w:val="24"/>
          <w:lang w:val="en-US"/>
        </w:rPr>
      </w:pPr>
      <w:r>
        <w:rPr>
          <w:sz w:val="24"/>
          <w:szCs w:val="24"/>
          <w:lang w:val="en-US"/>
        </w:rPr>
        <w:t>Application #549821 – Culpeper, County</w:t>
      </w:r>
    </w:p>
    <w:p w14:paraId="4B2606AA" w14:textId="236D763E" w:rsidR="00A17927" w:rsidRDefault="00A17927" w:rsidP="00A17927">
      <w:pPr>
        <w:pStyle w:val="ListParagraph"/>
        <w:numPr>
          <w:ilvl w:val="0"/>
          <w:numId w:val="8"/>
        </w:numPr>
        <w:spacing w:before="0" w:line="240" w:lineRule="auto"/>
        <w:rPr>
          <w:sz w:val="24"/>
          <w:szCs w:val="24"/>
          <w:lang w:val="en-US"/>
        </w:rPr>
      </w:pPr>
      <w:r>
        <w:rPr>
          <w:sz w:val="24"/>
          <w:szCs w:val="24"/>
          <w:lang w:val="en-US"/>
        </w:rPr>
        <w:t>Application #549761 – Fredericksburg, City</w:t>
      </w:r>
    </w:p>
    <w:p w14:paraId="1A874C56" w14:textId="636EB204"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#549704 – Rappahannock Regional Jail</w:t>
      </w:r>
    </w:p>
    <w:p w14:paraId="28B02F80" w14:textId="534D68C4" w:rsid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#550725 – Empowerhouse</w:t>
      </w:r>
    </w:p>
    <w:p w14:paraId="5BB9034A" w14:textId="37EAD188"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#551160 – Fredericksburg, City</w:t>
      </w:r>
    </w:p>
    <w:p w14:paraId="46751464" w14:textId="5F9BF7F9"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#551149 – Madison, County</w:t>
      </w:r>
    </w:p>
    <w:p w14:paraId="7F7325F4" w14:textId="07E57C32"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#551037 – Rappahannock Council Against Sexual Assault</w:t>
      </w:r>
    </w:p>
    <w:p w14:paraId="69EF5935" w14:textId="2ECB0707"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#552626 – Services to Abused Families, Inc.</w:t>
      </w:r>
    </w:p>
    <w:p w14:paraId="3DD957E8" w14:textId="6394442F"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#552625 – Spotsylvania, County</w:t>
      </w:r>
    </w:p>
    <w:p w14:paraId="4A08BB61" w14:textId="5D600E5B"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#551166 – Stafford, County</w:t>
      </w:r>
    </w:p>
    <w:p w14:paraId="49139405" w14:textId="59660C28"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#553698 – Culpeper, County</w:t>
      </w:r>
    </w:p>
    <w:p w14:paraId="3AED4142" w14:textId="1E759F45"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#553981 – Fredericksburg, City</w:t>
      </w:r>
    </w:p>
    <w:p w14:paraId="624C0C78" w14:textId="4ECF24CA"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#553690 – Madison, County</w:t>
      </w:r>
    </w:p>
    <w:p w14:paraId="6D5AB030" w14:textId="38CB25B0" w:rsid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#553822 – Orange, County</w:t>
      </w:r>
    </w:p>
    <w:p w14:paraId="7669B4B4" w14:textId="009A3D5E" w:rsid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#554318 – Spotsylvania, County</w:t>
      </w:r>
    </w:p>
    <w:p w14:paraId="45AB3A66" w14:textId="18E5F10E" w:rsid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#550338 – Culpeper, County</w:t>
      </w:r>
    </w:p>
    <w:p w14:paraId="4197CB98" w14:textId="61D885E7" w:rsid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#551610 – Culpeper, Town</w:t>
      </w:r>
    </w:p>
    <w:p w14:paraId="71CA4F0C" w14:textId="281384F9" w:rsid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#550649 – Fredericksburg, City</w:t>
      </w:r>
    </w:p>
    <w:p w14:paraId="7CD19A6A" w14:textId="6336EF77" w:rsidR="00A17927" w:rsidRPr="00A17927" w:rsidRDefault="00A17927" w:rsidP="00A17927">
      <w:pPr>
        <w:pStyle w:val="ListParagraph"/>
        <w:numPr>
          <w:ilvl w:val="0"/>
          <w:numId w:val="8"/>
        </w:numPr>
        <w:spacing w:before="0" w:line="240" w:lineRule="auto"/>
        <w:rPr>
          <w:sz w:val="24"/>
          <w:szCs w:val="24"/>
          <w:lang w:val="en-US"/>
        </w:rPr>
      </w:pPr>
      <w:r>
        <w:rPr>
          <w:sz w:val="24"/>
          <w:szCs w:val="24"/>
          <w:lang w:val="en-US"/>
        </w:rPr>
        <w:t>Application #551927 – Spotsylvania, County</w:t>
      </w:r>
    </w:p>
    <w:p w14:paraId="70DA9315" w14:textId="77777777" w:rsidR="00A17927" w:rsidRPr="000F5D09" w:rsidRDefault="00A17927" w:rsidP="00A17927">
      <w:pPr>
        <w:tabs>
          <w:tab w:val="left" w:pos="2520"/>
        </w:tabs>
        <w:spacing w:before="0" w:line="240" w:lineRule="auto"/>
        <w:rPr>
          <w:rFonts w:eastAsia="Arial"/>
          <w:bCs/>
          <w:sz w:val="24"/>
          <w:szCs w:val="24"/>
        </w:rPr>
      </w:pPr>
    </w:p>
    <w:sectPr w:rsidR="00A17927" w:rsidRPr="000F5D09" w:rsidSect="0043560E">
      <w:type w:val="continuous"/>
      <w:pgSz w:w="12240" w:h="15840"/>
      <w:pgMar w:top="1152" w:right="1440" w:bottom="1008" w:left="1440" w:header="634"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0911" w14:textId="77777777" w:rsidR="00AC2C2B" w:rsidRDefault="00AC2C2B" w:rsidP="00AC2C2B">
      <w:pPr>
        <w:spacing w:before="0" w:line="240" w:lineRule="auto"/>
      </w:pPr>
      <w:r>
        <w:separator/>
      </w:r>
    </w:p>
  </w:endnote>
  <w:endnote w:type="continuationSeparator" w:id="0">
    <w:p w14:paraId="7AC49B05" w14:textId="77777777" w:rsidR="00AC2C2B" w:rsidRDefault="00AC2C2B" w:rsidP="00AC2C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274388"/>
      <w:docPartObj>
        <w:docPartGallery w:val="Page Numbers (Bottom of Page)"/>
        <w:docPartUnique/>
      </w:docPartObj>
    </w:sdtPr>
    <w:sdtEndPr>
      <w:rPr>
        <w:noProof/>
      </w:rPr>
    </w:sdtEndPr>
    <w:sdtContent>
      <w:p w14:paraId="2AE51473" w14:textId="55A01032" w:rsidR="00AC2C2B" w:rsidRDefault="00AC2C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C5A7" w14:textId="77777777" w:rsidR="00AC2C2B" w:rsidRDefault="00AC2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5127" w14:textId="77777777" w:rsidR="00AC2C2B" w:rsidRDefault="00AC2C2B" w:rsidP="00AC2C2B">
      <w:pPr>
        <w:spacing w:before="0" w:line="240" w:lineRule="auto"/>
      </w:pPr>
      <w:r>
        <w:separator/>
      </w:r>
    </w:p>
  </w:footnote>
  <w:footnote w:type="continuationSeparator" w:id="0">
    <w:p w14:paraId="63D48E35" w14:textId="77777777" w:rsidR="00AC2C2B" w:rsidRDefault="00AC2C2B" w:rsidP="00AC2C2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092"/>
    <w:multiLevelType w:val="hybridMultilevel"/>
    <w:tmpl w:val="A238CD08"/>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1" w15:restartNumberingAfterBreak="0">
    <w:nsid w:val="0BA20350"/>
    <w:multiLevelType w:val="multilevel"/>
    <w:tmpl w:val="66A64B32"/>
    <w:lvl w:ilvl="0">
      <w:start w:val="1"/>
      <w:numFmt w:val="bullet"/>
      <w:lvlText w:val="▪"/>
      <w:lvlJc w:val="left"/>
      <w:pPr>
        <w:ind w:left="1440" w:hanging="360"/>
      </w:pPr>
      <w:rPr>
        <w:rFonts w:ascii="Noto Sans Symbols" w:eastAsia="Noto Sans Symbols" w:hAnsi="Noto Sans Symbols" w:cs="Noto Sans Symbols"/>
        <w:sz w:val="34"/>
        <w:szCs w:val="3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1D26656"/>
    <w:multiLevelType w:val="hybridMultilevel"/>
    <w:tmpl w:val="5BBC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D05AD"/>
    <w:multiLevelType w:val="hybridMultilevel"/>
    <w:tmpl w:val="31F02868"/>
    <w:lvl w:ilvl="0" w:tplc="04090005">
      <w:start w:val="1"/>
      <w:numFmt w:val="bullet"/>
      <w:lvlText w:val=""/>
      <w:lvlJc w:val="left"/>
      <w:pPr>
        <w:ind w:left="1530" w:hanging="360"/>
      </w:pPr>
      <w:rPr>
        <w:rFonts w:ascii="Wingdings" w:hAnsi="Wingdings" w:hint="default"/>
        <w:sz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633A78AB"/>
    <w:multiLevelType w:val="multilevel"/>
    <w:tmpl w:val="FA3C71D2"/>
    <w:lvl w:ilvl="0">
      <w:start w:val="1"/>
      <w:numFmt w:val="upperRoman"/>
      <w:lvlText w:val="%1."/>
      <w:lvlJc w:val="right"/>
      <w:pPr>
        <w:ind w:left="1170" w:hanging="360"/>
      </w:pPr>
      <w:rPr>
        <w:rFonts w:ascii="Arial" w:eastAsia="Arial" w:hAnsi="Arial" w:cs="Arial"/>
        <w:b/>
      </w:rPr>
    </w:lvl>
    <w:lvl w:ilvl="1">
      <w:start w:val="1"/>
      <w:numFmt w:val="upperLetter"/>
      <w:lvlText w:val="%2."/>
      <w:lvlJc w:val="left"/>
      <w:pPr>
        <w:ind w:left="3960" w:hanging="360"/>
      </w:pPr>
      <w:rPr>
        <w:rFonts w:ascii="Courier New" w:eastAsia="Courier New" w:hAnsi="Courier New" w:cs="Courier New"/>
      </w:rPr>
    </w:lvl>
    <w:lvl w:ilvl="2">
      <w:start w:val="1"/>
      <w:numFmt w:val="decimal"/>
      <w:lvlText w:val="%3."/>
      <w:lvlJc w:val="left"/>
      <w:pPr>
        <w:ind w:left="4680" w:hanging="180"/>
      </w:pPr>
    </w:lvl>
    <w:lvl w:ilvl="3">
      <w:start w:val="1"/>
      <w:numFmt w:val="lowerLetter"/>
      <w:lvlText w:val="%4)"/>
      <w:lvlJc w:val="left"/>
      <w:pPr>
        <w:ind w:left="5400" w:hanging="360"/>
      </w:pPr>
    </w:lvl>
    <w:lvl w:ilvl="4">
      <w:start w:val="1"/>
      <w:numFmt w:val="decimal"/>
      <w:lvlText w:val="(%5)"/>
      <w:lvlJc w:val="left"/>
      <w:pPr>
        <w:ind w:left="6120" w:hanging="360"/>
      </w:pPr>
    </w:lvl>
    <w:lvl w:ilvl="5">
      <w:start w:val="1"/>
      <w:numFmt w:val="lowerLetter"/>
      <w:lvlText w:val="(%6)"/>
      <w:lvlJc w:val="left"/>
      <w:pPr>
        <w:ind w:left="6840" w:hanging="180"/>
      </w:pPr>
    </w:lvl>
    <w:lvl w:ilvl="6">
      <w:start w:val="1"/>
      <w:numFmt w:val="lowerRoman"/>
      <w:lvlText w:val="(%7)"/>
      <w:lvlJc w:val="righ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5" w15:restartNumberingAfterBreak="0">
    <w:nsid w:val="6EFC1BA4"/>
    <w:multiLevelType w:val="multilevel"/>
    <w:tmpl w:val="3202CFB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E305D9"/>
    <w:multiLevelType w:val="multilevel"/>
    <w:tmpl w:val="2884C342"/>
    <w:lvl w:ilvl="0">
      <w:start w:val="1"/>
      <w:numFmt w:val="bullet"/>
      <w:lvlText w:val=""/>
      <w:lvlJc w:val="left"/>
      <w:pPr>
        <w:ind w:left="720" w:hanging="360"/>
      </w:pPr>
      <w:rPr>
        <w:rFonts w:ascii="Wingdings" w:hAnsi="Wingdings" w:hint="default"/>
        <w:sz w:val="28"/>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F8649D"/>
    <w:multiLevelType w:val="hybridMultilevel"/>
    <w:tmpl w:val="53509050"/>
    <w:lvl w:ilvl="0" w:tplc="04090017">
      <w:start w:val="1"/>
      <w:numFmt w:val="lowerLetter"/>
      <w:lvlText w:val="%1)"/>
      <w:lvlJc w:val="left"/>
      <w:pPr>
        <w:ind w:left="1980" w:hanging="360"/>
      </w:pPr>
      <w:rPr>
        <w:rFont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5889077">
    <w:abstractNumId w:val="5"/>
  </w:num>
  <w:num w:numId="2" w16cid:durableId="542517741">
    <w:abstractNumId w:val="4"/>
  </w:num>
  <w:num w:numId="3" w16cid:durableId="1094977860">
    <w:abstractNumId w:val="1"/>
  </w:num>
  <w:num w:numId="4" w16cid:durableId="124279386">
    <w:abstractNumId w:val="3"/>
  </w:num>
  <w:num w:numId="5" w16cid:durableId="1550144239">
    <w:abstractNumId w:val="6"/>
  </w:num>
  <w:num w:numId="6" w16cid:durableId="1140152745">
    <w:abstractNumId w:val="7"/>
  </w:num>
  <w:num w:numId="7" w16cid:durableId="768165378">
    <w:abstractNumId w:val="0"/>
  </w:num>
  <w:num w:numId="8" w16cid:durableId="2146046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7C9"/>
    <w:rsid w:val="000041FA"/>
    <w:rsid w:val="00031F8E"/>
    <w:rsid w:val="000409AA"/>
    <w:rsid w:val="000415B0"/>
    <w:rsid w:val="000420AD"/>
    <w:rsid w:val="00045909"/>
    <w:rsid w:val="00052E72"/>
    <w:rsid w:val="000575FE"/>
    <w:rsid w:val="000622E6"/>
    <w:rsid w:val="000824A9"/>
    <w:rsid w:val="00082875"/>
    <w:rsid w:val="000A44A6"/>
    <w:rsid w:val="000A46BD"/>
    <w:rsid w:val="000B197E"/>
    <w:rsid w:val="000E6F9A"/>
    <w:rsid w:val="000E7959"/>
    <w:rsid w:val="000E7E12"/>
    <w:rsid w:val="000F5D09"/>
    <w:rsid w:val="000F7709"/>
    <w:rsid w:val="001009D1"/>
    <w:rsid w:val="0010281A"/>
    <w:rsid w:val="00115A93"/>
    <w:rsid w:val="0012106D"/>
    <w:rsid w:val="001329F4"/>
    <w:rsid w:val="001409CE"/>
    <w:rsid w:val="00143FFE"/>
    <w:rsid w:val="00146494"/>
    <w:rsid w:val="001576C7"/>
    <w:rsid w:val="00186145"/>
    <w:rsid w:val="00192CA0"/>
    <w:rsid w:val="001B6F0B"/>
    <w:rsid w:val="001C676F"/>
    <w:rsid w:val="001D025F"/>
    <w:rsid w:val="001D3450"/>
    <w:rsid w:val="001F2174"/>
    <w:rsid w:val="00201404"/>
    <w:rsid w:val="00202F42"/>
    <w:rsid w:val="002058F5"/>
    <w:rsid w:val="00214856"/>
    <w:rsid w:val="002200C3"/>
    <w:rsid w:val="00256053"/>
    <w:rsid w:val="00261F66"/>
    <w:rsid w:val="0027498D"/>
    <w:rsid w:val="00285BBA"/>
    <w:rsid w:val="00295897"/>
    <w:rsid w:val="002B469C"/>
    <w:rsid w:val="002C03A4"/>
    <w:rsid w:val="002F1357"/>
    <w:rsid w:val="002F1F48"/>
    <w:rsid w:val="002F2F4C"/>
    <w:rsid w:val="002F7F7E"/>
    <w:rsid w:val="00331411"/>
    <w:rsid w:val="00340C34"/>
    <w:rsid w:val="003516AD"/>
    <w:rsid w:val="0035296D"/>
    <w:rsid w:val="00365D46"/>
    <w:rsid w:val="00384F64"/>
    <w:rsid w:val="00391A00"/>
    <w:rsid w:val="003B23F4"/>
    <w:rsid w:val="003B33A0"/>
    <w:rsid w:val="003B3632"/>
    <w:rsid w:val="003C6363"/>
    <w:rsid w:val="004124DA"/>
    <w:rsid w:val="0041437A"/>
    <w:rsid w:val="00421D95"/>
    <w:rsid w:val="004221BF"/>
    <w:rsid w:val="00425AD8"/>
    <w:rsid w:val="0043184A"/>
    <w:rsid w:val="0043560E"/>
    <w:rsid w:val="00473D79"/>
    <w:rsid w:val="004762E6"/>
    <w:rsid w:val="0047694F"/>
    <w:rsid w:val="0048491A"/>
    <w:rsid w:val="00485C19"/>
    <w:rsid w:val="004905A0"/>
    <w:rsid w:val="00491EEC"/>
    <w:rsid w:val="004C183F"/>
    <w:rsid w:val="004D08B7"/>
    <w:rsid w:val="004D6500"/>
    <w:rsid w:val="004E2450"/>
    <w:rsid w:val="004F75B0"/>
    <w:rsid w:val="005100D1"/>
    <w:rsid w:val="00547316"/>
    <w:rsid w:val="005656F0"/>
    <w:rsid w:val="00577DA6"/>
    <w:rsid w:val="005820A8"/>
    <w:rsid w:val="005876F3"/>
    <w:rsid w:val="0059631A"/>
    <w:rsid w:val="0059651C"/>
    <w:rsid w:val="005F6930"/>
    <w:rsid w:val="006047FC"/>
    <w:rsid w:val="006374D1"/>
    <w:rsid w:val="006430E7"/>
    <w:rsid w:val="00671A87"/>
    <w:rsid w:val="006741D6"/>
    <w:rsid w:val="00697617"/>
    <w:rsid w:val="006A5B61"/>
    <w:rsid w:val="006A6858"/>
    <w:rsid w:val="006D5F21"/>
    <w:rsid w:val="006E67C8"/>
    <w:rsid w:val="006E692F"/>
    <w:rsid w:val="006F0D6D"/>
    <w:rsid w:val="006F690B"/>
    <w:rsid w:val="00710E0C"/>
    <w:rsid w:val="00711401"/>
    <w:rsid w:val="00711C14"/>
    <w:rsid w:val="00724531"/>
    <w:rsid w:val="0072680A"/>
    <w:rsid w:val="00740FEB"/>
    <w:rsid w:val="00747BE4"/>
    <w:rsid w:val="0075683B"/>
    <w:rsid w:val="007869D1"/>
    <w:rsid w:val="00794F3D"/>
    <w:rsid w:val="007A3082"/>
    <w:rsid w:val="007A615B"/>
    <w:rsid w:val="007A7EB0"/>
    <w:rsid w:val="007B1324"/>
    <w:rsid w:val="007C104B"/>
    <w:rsid w:val="007E6453"/>
    <w:rsid w:val="007E6F4B"/>
    <w:rsid w:val="007F7B91"/>
    <w:rsid w:val="008043A8"/>
    <w:rsid w:val="0081222F"/>
    <w:rsid w:val="00813B30"/>
    <w:rsid w:val="008248F3"/>
    <w:rsid w:val="00845E25"/>
    <w:rsid w:val="0085414E"/>
    <w:rsid w:val="008662C5"/>
    <w:rsid w:val="00866661"/>
    <w:rsid w:val="00891741"/>
    <w:rsid w:val="0089268D"/>
    <w:rsid w:val="008938A3"/>
    <w:rsid w:val="00897CE2"/>
    <w:rsid w:val="008A3B21"/>
    <w:rsid w:val="008B6AF3"/>
    <w:rsid w:val="008C48B4"/>
    <w:rsid w:val="008C54AB"/>
    <w:rsid w:val="008D1553"/>
    <w:rsid w:val="008D3C34"/>
    <w:rsid w:val="008F22D6"/>
    <w:rsid w:val="008F54DB"/>
    <w:rsid w:val="0090378D"/>
    <w:rsid w:val="009041F9"/>
    <w:rsid w:val="00925B23"/>
    <w:rsid w:val="009457C5"/>
    <w:rsid w:val="00966807"/>
    <w:rsid w:val="00971A7F"/>
    <w:rsid w:val="00991C03"/>
    <w:rsid w:val="009A15CA"/>
    <w:rsid w:val="009A356A"/>
    <w:rsid w:val="009C2E91"/>
    <w:rsid w:val="009E2E57"/>
    <w:rsid w:val="009E31C0"/>
    <w:rsid w:val="009E6B58"/>
    <w:rsid w:val="009F2F1E"/>
    <w:rsid w:val="00A17927"/>
    <w:rsid w:val="00A25699"/>
    <w:rsid w:val="00A34A95"/>
    <w:rsid w:val="00A44FD4"/>
    <w:rsid w:val="00A5263E"/>
    <w:rsid w:val="00A711B3"/>
    <w:rsid w:val="00A749E9"/>
    <w:rsid w:val="00A84D47"/>
    <w:rsid w:val="00A90934"/>
    <w:rsid w:val="00A90CBB"/>
    <w:rsid w:val="00AA05EB"/>
    <w:rsid w:val="00AA1A1C"/>
    <w:rsid w:val="00AA3C28"/>
    <w:rsid w:val="00AB0D35"/>
    <w:rsid w:val="00AC2C2B"/>
    <w:rsid w:val="00AC674E"/>
    <w:rsid w:val="00AD3A5B"/>
    <w:rsid w:val="00AF441D"/>
    <w:rsid w:val="00AF4EF9"/>
    <w:rsid w:val="00B0554E"/>
    <w:rsid w:val="00B30EAD"/>
    <w:rsid w:val="00B47342"/>
    <w:rsid w:val="00B523AA"/>
    <w:rsid w:val="00B65F74"/>
    <w:rsid w:val="00B73497"/>
    <w:rsid w:val="00B851F2"/>
    <w:rsid w:val="00B85A35"/>
    <w:rsid w:val="00B94766"/>
    <w:rsid w:val="00BA4B79"/>
    <w:rsid w:val="00BA5A28"/>
    <w:rsid w:val="00BA655F"/>
    <w:rsid w:val="00BB5398"/>
    <w:rsid w:val="00BC2BA7"/>
    <w:rsid w:val="00BE0132"/>
    <w:rsid w:val="00C31116"/>
    <w:rsid w:val="00C34E65"/>
    <w:rsid w:val="00C50A6E"/>
    <w:rsid w:val="00C51313"/>
    <w:rsid w:val="00C64747"/>
    <w:rsid w:val="00C6545E"/>
    <w:rsid w:val="00C73A1F"/>
    <w:rsid w:val="00C83E2B"/>
    <w:rsid w:val="00C87478"/>
    <w:rsid w:val="00C9416F"/>
    <w:rsid w:val="00CA0EB7"/>
    <w:rsid w:val="00CB4EC9"/>
    <w:rsid w:val="00CD42FA"/>
    <w:rsid w:val="00CF30EA"/>
    <w:rsid w:val="00CF5207"/>
    <w:rsid w:val="00D1751C"/>
    <w:rsid w:val="00D34D6D"/>
    <w:rsid w:val="00D677F9"/>
    <w:rsid w:val="00D97E35"/>
    <w:rsid w:val="00DA0050"/>
    <w:rsid w:val="00DA486C"/>
    <w:rsid w:val="00DD49A2"/>
    <w:rsid w:val="00DE2A4D"/>
    <w:rsid w:val="00DF6651"/>
    <w:rsid w:val="00E055A4"/>
    <w:rsid w:val="00E104CE"/>
    <w:rsid w:val="00E37616"/>
    <w:rsid w:val="00E42439"/>
    <w:rsid w:val="00E515E9"/>
    <w:rsid w:val="00E6120A"/>
    <w:rsid w:val="00E74B4F"/>
    <w:rsid w:val="00E87F1A"/>
    <w:rsid w:val="00E97FBE"/>
    <w:rsid w:val="00EA5A84"/>
    <w:rsid w:val="00ED1206"/>
    <w:rsid w:val="00ED255B"/>
    <w:rsid w:val="00ED459E"/>
    <w:rsid w:val="00EE0A9E"/>
    <w:rsid w:val="00F04C04"/>
    <w:rsid w:val="00F364AA"/>
    <w:rsid w:val="00F37811"/>
    <w:rsid w:val="00F45F0C"/>
    <w:rsid w:val="00F53A05"/>
    <w:rsid w:val="00F70A98"/>
    <w:rsid w:val="00F7125C"/>
    <w:rsid w:val="00F716F1"/>
    <w:rsid w:val="00F77AB1"/>
    <w:rsid w:val="00F77C79"/>
    <w:rsid w:val="00F908FA"/>
    <w:rsid w:val="00F94EE9"/>
    <w:rsid w:val="00F9590C"/>
    <w:rsid w:val="00FA143E"/>
    <w:rsid w:val="00FA57C9"/>
    <w:rsid w:val="00FD6B60"/>
    <w:rsid w:val="00FE0F2C"/>
    <w:rsid w:val="00FE14E4"/>
    <w:rsid w:val="00FF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DCEB"/>
  <w15:chartTrackingRefBased/>
  <w15:docId w15:val="{EB71149A-9EC4-4787-80BB-97B860D1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57C9"/>
    <w:pPr>
      <w:spacing w:before="140" w:after="0" w:line="276" w:lineRule="auto"/>
    </w:pPr>
    <w:rPr>
      <w:rFonts w:ascii="Times New Roman" w:eastAsia="Times New Roman" w:hAnsi="Times New Roman" w:cs="Times New Roman"/>
      <w:lang w:val="en"/>
    </w:rPr>
  </w:style>
  <w:style w:type="paragraph" w:styleId="Heading3">
    <w:name w:val="heading 3"/>
    <w:basedOn w:val="Normal"/>
    <w:next w:val="Normal"/>
    <w:link w:val="Heading3Char"/>
    <w:uiPriority w:val="9"/>
    <w:semiHidden/>
    <w:unhideWhenUsed/>
    <w:qFormat/>
    <w:rsid w:val="009457C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845E25"/>
    <w:pPr>
      <w:spacing w:before="100" w:beforeAutospacing="1" w:after="100" w:afterAutospacing="1" w:line="240" w:lineRule="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7C9"/>
    <w:pPr>
      <w:ind w:left="720"/>
      <w:contextualSpacing/>
    </w:pPr>
  </w:style>
  <w:style w:type="paragraph" w:styleId="BalloonText">
    <w:name w:val="Balloon Text"/>
    <w:basedOn w:val="Normal"/>
    <w:link w:val="BalloonTextChar"/>
    <w:uiPriority w:val="99"/>
    <w:semiHidden/>
    <w:unhideWhenUsed/>
    <w:rsid w:val="000E6F9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9A"/>
    <w:rPr>
      <w:rFonts w:ascii="Segoe UI" w:eastAsia="Times New Roman" w:hAnsi="Segoe UI" w:cs="Segoe UI"/>
      <w:sz w:val="18"/>
      <w:szCs w:val="18"/>
      <w:lang w:val="en"/>
    </w:rPr>
  </w:style>
  <w:style w:type="table" w:styleId="TableGrid">
    <w:name w:val="Table Grid"/>
    <w:basedOn w:val="TableNormal"/>
    <w:uiPriority w:val="39"/>
    <w:rsid w:val="008541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45E2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9457C5"/>
    <w:rPr>
      <w:rFonts w:asciiTheme="majorHAnsi" w:eastAsiaTheme="majorEastAsia" w:hAnsiTheme="majorHAnsi" w:cstheme="majorBidi"/>
      <w:color w:val="1F4D78" w:themeColor="accent1" w:themeShade="7F"/>
      <w:sz w:val="24"/>
      <w:szCs w:val="24"/>
      <w:lang w:val="en"/>
    </w:rPr>
  </w:style>
  <w:style w:type="paragraph" w:styleId="Header">
    <w:name w:val="header"/>
    <w:basedOn w:val="Normal"/>
    <w:link w:val="HeaderChar"/>
    <w:uiPriority w:val="99"/>
    <w:unhideWhenUsed/>
    <w:rsid w:val="00AC2C2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C2C2B"/>
    <w:rPr>
      <w:rFonts w:ascii="Times New Roman" w:eastAsia="Times New Roman" w:hAnsi="Times New Roman" w:cs="Times New Roman"/>
      <w:lang w:val="en"/>
    </w:rPr>
  </w:style>
  <w:style w:type="paragraph" w:styleId="Footer">
    <w:name w:val="footer"/>
    <w:basedOn w:val="Normal"/>
    <w:link w:val="FooterChar"/>
    <w:uiPriority w:val="99"/>
    <w:unhideWhenUsed/>
    <w:rsid w:val="00AC2C2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C2C2B"/>
    <w:rPr>
      <w:rFonts w:ascii="Times New Roman" w:eastAsia="Times New Roman" w:hAnsi="Times New Roman"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709">
      <w:bodyDiv w:val="1"/>
      <w:marLeft w:val="0"/>
      <w:marRight w:val="0"/>
      <w:marTop w:val="0"/>
      <w:marBottom w:val="0"/>
      <w:divBdr>
        <w:top w:val="none" w:sz="0" w:space="0" w:color="auto"/>
        <w:left w:val="none" w:sz="0" w:space="0" w:color="auto"/>
        <w:bottom w:val="none" w:sz="0" w:space="0" w:color="auto"/>
        <w:right w:val="none" w:sz="0" w:space="0" w:color="auto"/>
      </w:divBdr>
    </w:div>
    <w:div w:id="29501811">
      <w:bodyDiv w:val="1"/>
      <w:marLeft w:val="0"/>
      <w:marRight w:val="0"/>
      <w:marTop w:val="0"/>
      <w:marBottom w:val="0"/>
      <w:divBdr>
        <w:top w:val="none" w:sz="0" w:space="0" w:color="auto"/>
        <w:left w:val="none" w:sz="0" w:space="0" w:color="auto"/>
        <w:bottom w:val="none" w:sz="0" w:space="0" w:color="auto"/>
        <w:right w:val="none" w:sz="0" w:space="0" w:color="auto"/>
      </w:divBdr>
    </w:div>
    <w:div w:id="98529669">
      <w:bodyDiv w:val="1"/>
      <w:marLeft w:val="0"/>
      <w:marRight w:val="0"/>
      <w:marTop w:val="0"/>
      <w:marBottom w:val="0"/>
      <w:divBdr>
        <w:top w:val="none" w:sz="0" w:space="0" w:color="auto"/>
        <w:left w:val="none" w:sz="0" w:space="0" w:color="auto"/>
        <w:bottom w:val="none" w:sz="0" w:space="0" w:color="auto"/>
        <w:right w:val="none" w:sz="0" w:space="0" w:color="auto"/>
      </w:divBdr>
    </w:div>
    <w:div w:id="114448712">
      <w:bodyDiv w:val="1"/>
      <w:marLeft w:val="0"/>
      <w:marRight w:val="0"/>
      <w:marTop w:val="0"/>
      <w:marBottom w:val="0"/>
      <w:divBdr>
        <w:top w:val="none" w:sz="0" w:space="0" w:color="auto"/>
        <w:left w:val="none" w:sz="0" w:space="0" w:color="auto"/>
        <w:bottom w:val="none" w:sz="0" w:space="0" w:color="auto"/>
        <w:right w:val="none" w:sz="0" w:space="0" w:color="auto"/>
      </w:divBdr>
    </w:div>
    <w:div w:id="138884799">
      <w:bodyDiv w:val="1"/>
      <w:marLeft w:val="0"/>
      <w:marRight w:val="0"/>
      <w:marTop w:val="0"/>
      <w:marBottom w:val="0"/>
      <w:divBdr>
        <w:top w:val="none" w:sz="0" w:space="0" w:color="auto"/>
        <w:left w:val="none" w:sz="0" w:space="0" w:color="auto"/>
        <w:bottom w:val="none" w:sz="0" w:space="0" w:color="auto"/>
        <w:right w:val="none" w:sz="0" w:space="0" w:color="auto"/>
      </w:divBdr>
    </w:div>
    <w:div w:id="174343363">
      <w:bodyDiv w:val="1"/>
      <w:marLeft w:val="0"/>
      <w:marRight w:val="0"/>
      <w:marTop w:val="0"/>
      <w:marBottom w:val="0"/>
      <w:divBdr>
        <w:top w:val="none" w:sz="0" w:space="0" w:color="auto"/>
        <w:left w:val="none" w:sz="0" w:space="0" w:color="auto"/>
        <w:bottom w:val="none" w:sz="0" w:space="0" w:color="auto"/>
        <w:right w:val="none" w:sz="0" w:space="0" w:color="auto"/>
      </w:divBdr>
    </w:div>
    <w:div w:id="211356449">
      <w:bodyDiv w:val="1"/>
      <w:marLeft w:val="0"/>
      <w:marRight w:val="0"/>
      <w:marTop w:val="0"/>
      <w:marBottom w:val="0"/>
      <w:divBdr>
        <w:top w:val="none" w:sz="0" w:space="0" w:color="auto"/>
        <w:left w:val="none" w:sz="0" w:space="0" w:color="auto"/>
        <w:bottom w:val="none" w:sz="0" w:space="0" w:color="auto"/>
        <w:right w:val="none" w:sz="0" w:space="0" w:color="auto"/>
      </w:divBdr>
    </w:div>
    <w:div w:id="239020571">
      <w:bodyDiv w:val="1"/>
      <w:marLeft w:val="0"/>
      <w:marRight w:val="0"/>
      <w:marTop w:val="0"/>
      <w:marBottom w:val="0"/>
      <w:divBdr>
        <w:top w:val="none" w:sz="0" w:space="0" w:color="auto"/>
        <w:left w:val="none" w:sz="0" w:space="0" w:color="auto"/>
        <w:bottom w:val="none" w:sz="0" w:space="0" w:color="auto"/>
        <w:right w:val="none" w:sz="0" w:space="0" w:color="auto"/>
      </w:divBdr>
    </w:div>
    <w:div w:id="243226006">
      <w:bodyDiv w:val="1"/>
      <w:marLeft w:val="0"/>
      <w:marRight w:val="0"/>
      <w:marTop w:val="0"/>
      <w:marBottom w:val="0"/>
      <w:divBdr>
        <w:top w:val="none" w:sz="0" w:space="0" w:color="auto"/>
        <w:left w:val="none" w:sz="0" w:space="0" w:color="auto"/>
        <w:bottom w:val="none" w:sz="0" w:space="0" w:color="auto"/>
        <w:right w:val="none" w:sz="0" w:space="0" w:color="auto"/>
      </w:divBdr>
    </w:div>
    <w:div w:id="274412237">
      <w:bodyDiv w:val="1"/>
      <w:marLeft w:val="0"/>
      <w:marRight w:val="0"/>
      <w:marTop w:val="0"/>
      <w:marBottom w:val="0"/>
      <w:divBdr>
        <w:top w:val="none" w:sz="0" w:space="0" w:color="auto"/>
        <w:left w:val="none" w:sz="0" w:space="0" w:color="auto"/>
        <w:bottom w:val="none" w:sz="0" w:space="0" w:color="auto"/>
        <w:right w:val="none" w:sz="0" w:space="0" w:color="auto"/>
      </w:divBdr>
    </w:div>
    <w:div w:id="302782336">
      <w:bodyDiv w:val="1"/>
      <w:marLeft w:val="0"/>
      <w:marRight w:val="0"/>
      <w:marTop w:val="0"/>
      <w:marBottom w:val="0"/>
      <w:divBdr>
        <w:top w:val="none" w:sz="0" w:space="0" w:color="auto"/>
        <w:left w:val="none" w:sz="0" w:space="0" w:color="auto"/>
        <w:bottom w:val="none" w:sz="0" w:space="0" w:color="auto"/>
        <w:right w:val="none" w:sz="0" w:space="0" w:color="auto"/>
      </w:divBdr>
    </w:div>
    <w:div w:id="320012345">
      <w:bodyDiv w:val="1"/>
      <w:marLeft w:val="0"/>
      <w:marRight w:val="0"/>
      <w:marTop w:val="0"/>
      <w:marBottom w:val="0"/>
      <w:divBdr>
        <w:top w:val="none" w:sz="0" w:space="0" w:color="auto"/>
        <w:left w:val="none" w:sz="0" w:space="0" w:color="auto"/>
        <w:bottom w:val="none" w:sz="0" w:space="0" w:color="auto"/>
        <w:right w:val="none" w:sz="0" w:space="0" w:color="auto"/>
      </w:divBdr>
    </w:div>
    <w:div w:id="336003899">
      <w:bodyDiv w:val="1"/>
      <w:marLeft w:val="0"/>
      <w:marRight w:val="0"/>
      <w:marTop w:val="0"/>
      <w:marBottom w:val="0"/>
      <w:divBdr>
        <w:top w:val="none" w:sz="0" w:space="0" w:color="auto"/>
        <w:left w:val="none" w:sz="0" w:space="0" w:color="auto"/>
        <w:bottom w:val="none" w:sz="0" w:space="0" w:color="auto"/>
        <w:right w:val="none" w:sz="0" w:space="0" w:color="auto"/>
      </w:divBdr>
    </w:div>
    <w:div w:id="373041012">
      <w:bodyDiv w:val="1"/>
      <w:marLeft w:val="0"/>
      <w:marRight w:val="0"/>
      <w:marTop w:val="0"/>
      <w:marBottom w:val="0"/>
      <w:divBdr>
        <w:top w:val="none" w:sz="0" w:space="0" w:color="auto"/>
        <w:left w:val="none" w:sz="0" w:space="0" w:color="auto"/>
        <w:bottom w:val="none" w:sz="0" w:space="0" w:color="auto"/>
        <w:right w:val="none" w:sz="0" w:space="0" w:color="auto"/>
      </w:divBdr>
    </w:div>
    <w:div w:id="382489341">
      <w:bodyDiv w:val="1"/>
      <w:marLeft w:val="0"/>
      <w:marRight w:val="0"/>
      <w:marTop w:val="0"/>
      <w:marBottom w:val="0"/>
      <w:divBdr>
        <w:top w:val="none" w:sz="0" w:space="0" w:color="auto"/>
        <w:left w:val="none" w:sz="0" w:space="0" w:color="auto"/>
        <w:bottom w:val="none" w:sz="0" w:space="0" w:color="auto"/>
        <w:right w:val="none" w:sz="0" w:space="0" w:color="auto"/>
      </w:divBdr>
    </w:div>
    <w:div w:id="388772500">
      <w:bodyDiv w:val="1"/>
      <w:marLeft w:val="0"/>
      <w:marRight w:val="0"/>
      <w:marTop w:val="0"/>
      <w:marBottom w:val="0"/>
      <w:divBdr>
        <w:top w:val="none" w:sz="0" w:space="0" w:color="auto"/>
        <w:left w:val="none" w:sz="0" w:space="0" w:color="auto"/>
        <w:bottom w:val="none" w:sz="0" w:space="0" w:color="auto"/>
        <w:right w:val="none" w:sz="0" w:space="0" w:color="auto"/>
      </w:divBdr>
    </w:div>
    <w:div w:id="415249294">
      <w:bodyDiv w:val="1"/>
      <w:marLeft w:val="0"/>
      <w:marRight w:val="0"/>
      <w:marTop w:val="0"/>
      <w:marBottom w:val="0"/>
      <w:divBdr>
        <w:top w:val="none" w:sz="0" w:space="0" w:color="auto"/>
        <w:left w:val="none" w:sz="0" w:space="0" w:color="auto"/>
        <w:bottom w:val="none" w:sz="0" w:space="0" w:color="auto"/>
        <w:right w:val="none" w:sz="0" w:space="0" w:color="auto"/>
      </w:divBdr>
    </w:div>
    <w:div w:id="502008572">
      <w:bodyDiv w:val="1"/>
      <w:marLeft w:val="0"/>
      <w:marRight w:val="0"/>
      <w:marTop w:val="0"/>
      <w:marBottom w:val="0"/>
      <w:divBdr>
        <w:top w:val="none" w:sz="0" w:space="0" w:color="auto"/>
        <w:left w:val="none" w:sz="0" w:space="0" w:color="auto"/>
        <w:bottom w:val="none" w:sz="0" w:space="0" w:color="auto"/>
        <w:right w:val="none" w:sz="0" w:space="0" w:color="auto"/>
      </w:divBdr>
    </w:div>
    <w:div w:id="559630447">
      <w:bodyDiv w:val="1"/>
      <w:marLeft w:val="0"/>
      <w:marRight w:val="0"/>
      <w:marTop w:val="0"/>
      <w:marBottom w:val="0"/>
      <w:divBdr>
        <w:top w:val="none" w:sz="0" w:space="0" w:color="auto"/>
        <w:left w:val="none" w:sz="0" w:space="0" w:color="auto"/>
        <w:bottom w:val="none" w:sz="0" w:space="0" w:color="auto"/>
        <w:right w:val="none" w:sz="0" w:space="0" w:color="auto"/>
      </w:divBdr>
    </w:div>
    <w:div w:id="579218935">
      <w:bodyDiv w:val="1"/>
      <w:marLeft w:val="0"/>
      <w:marRight w:val="0"/>
      <w:marTop w:val="0"/>
      <w:marBottom w:val="0"/>
      <w:divBdr>
        <w:top w:val="none" w:sz="0" w:space="0" w:color="auto"/>
        <w:left w:val="none" w:sz="0" w:space="0" w:color="auto"/>
        <w:bottom w:val="none" w:sz="0" w:space="0" w:color="auto"/>
        <w:right w:val="none" w:sz="0" w:space="0" w:color="auto"/>
      </w:divBdr>
    </w:div>
    <w:div w:id="594749771">
      <w:bodyDiv w:val="1"/>
      <w:marLeft w:val="0"/>
      <w:marRight w:val="0"/>
      <w:marTop w:val="0"/>
      <w:marBottom w:val="0"/>
      <w:divBdr>
        <w:top w:val="none" w:sz="0" w:space="0" w:color="auto"/>
        <w:left w:val="none" w:sz="0" w:space="0" w:color="auto"/>
        <w:bottom w:val="none" w:sz="0" w:space="0" w:color="auto"/>
        <w:right w:val="none" w:sz="0" w:space="0" w:color="auto"/>
      </w:divBdr>
    </w:div>
    <w:div w:id="600261522">
      <w:bodyDiv w:val="1"/>
      <w:marLeft w:val="0"/>
      <w:marRight w:val="0"/>
      <w:marTop w:val="0"/>
      <w:marBottom w:val="0"/>
      <w:divBdr>
        <w:top w:val="none" w:sz="0" w:space="0" w:color="auto"/>
        <w:left w:val="none" w:sz="0" w:space="0" w:color="auto"/>
        <w:bottom w:val="none" w:sz="0" w:space="0" w:color="auto"/>
        <w:right w:val="none" w:sz="0" w:space="0" w:color="auto"/>
      </w:divBdr>
    </w:div>
    <w:div w:id="645429324">
      <w:bodyDiv w:val="1"/>
      <w:marLeft w:val="0"/>
      <w:marRight w:val="0"/>
      <w:marTop w:val="0"/>
      <w:marBottom w:val="0"/>
      <w:divBdr>
        <w:top w:val="none" w:sz="0" w:space="0" w:color="auto"/>
        <w:left w:val="none" w:sz="0" w:space="0" w:color="auto"/>
        <w:bottom w:val="none" w:sz="0" w:space="0" w:color="auto"/>
        <w:right w:val="none" w:sz="0" w:space="0" w:color="auto"/>
      </w:divBdr>
    </w:div>
    <w:div w:id="705178070">
      <w:bodyDiv w:val="1"/>
      <w:marLeft w:val="0"/>
      <w:marRight w:val="0"/>
      <w:marTop w:val="0"/>
      <w:marBottom w:val="0"/>
      <w:divBdr>
        <w:top w:val="none" w:sz="0" w:space="0" w:color="auto"/>
        <w:left w:val="none" w:sz="0" w:space="0" w:color="auto"/>
        <w:bottom w:val="none" w:sz="0" w:space="0" w:color="auto"/>
        <w:right w:val="none" w:sz="0" w:space="0" w:color="auto"/>
      </w:divBdr>
    </w:div>
    <w:div w:id="748189587">
      <w:bodyDiv w:val="1"/>
      <w:marLeft w:val="0"/>
      <w:marRight w:val="0"/>
      <w:marTop w:val="0"/>
      <w:marBottom w:val="0"/>
      <w:divBdr>
        <w:top w:val="none" w:sz="0" w:space="0" w:color="auto"/>
        <w:left w:val="none" w:sz="0" w:space="0" w:color="auto"/>
        <w:bottom w:val="none" w:sz="0" w:space="0" w:color="auto"/>
        <w:right w:val="none" w:sz="0" w:space="0" w:color="auto"/>
      </w:divBdr>
    </w:div>
    <w:div w:id="749737748">
      <w:bodyDiv w:val="1"/>
      <w:marLeft w:val="0"/>
      <w:marRight w:val="0"/>
      <w:marTop w:val="0"/>
      <w:marBottom w:val="0"/>
      <w:divBdr>
        <w:top w:val="none" w:sz="0" w:space="0" w:color="auto"/>
        <w:left w:val="none" w:sz="0" w:space="0" w:color="auto"/>
        <w:bottom w:val="none" w:sz="0" w:space="0" w:color="auto"/>
        <w:right w:val="none" w:sz="0" w:space="0" w:color="auto"/>
      </w:divBdr>
    </w:div>
    <w:div w:id="759720918">
      <w:bodyDiv w:val="1"/>
      <w:marLeft w:val="0"/>
      <w:marRight w:val="0"/>
      <w:marTop w:val="0"/>
      <w:marBottom w:val="0"/>
      <w:divBdr>
        <w:top w:val="none" w:sz="0" w:space="0" w:color="auto"/>
        <w:left w:val="none" w:sz="0" w:space="0" w:color="auto"/>
        <w:bottom w:val="none" w:sz="0" w:space="0" w:color="auto"/>
        <w:right w:val="none" w:sz="0" w:space="0" w:color="auto"/>
      </w:divBdr>
    </w:div>
    <w:div w:id="819426156">
      <w:bodyDiv w:val="1"/>
      <w:marLeft w:val="0"/>
      <w:marRight w:val="0"/>
      <w:marTop w:val="0"/>
      <w:marBottom w:val="0"/>
      <w:divBdr>
        <w:top w:val="none" w:sz="0" w:space="0" w:color="auto"/>
        <w:left w:val="none" w:sz="0" w:space="0" w:color="auto"/>
        <w:bottom w:val="none" w:sz="0" w:space="0" w:color="auto"/>
        <w:right w:val="none" w:sz="0" w:space="0" w:color="auto"/>
      </w:divBdr>
    </w:div>
    <w:div w:id="853152412">
      <w:bodyDiv w:val="1"/>
      <w:marLeft w:val="0"/>
      <w:marRight w:val="0"/>
      <w:marTop w:val="0"/>
      <w:marBottom w:val="0"/>
      <w:divBdr>
        <w:top w:val="none" w:sz="0" w:space="0" w:color="auto"/>
        <w:left w:val="none" w:sz="0" w:space="0" w:color="auto"/>
        <w:bottom w:val="none" w:sz="0" w:space="0" w:color="auto"/>
        <w:right w:val="none" w:sz="0" w:space="0" w:color="auto"/>
      </w:divBdr>
    </w:div>
    <w:div w:id="864556081">
      <w:bodyDiv w:val="1"/>
      <w:marLeft w:val="0"/>
      <w:marRight w:val="0"/>
      <w:marTop w:val="0"/>
      <w:marBottom w:val="0"/>
      <w:divBdr>
        <w:top w:val="none" w:sz="0" w:space="0" w:color="auto"/>
        <w:left w:val="none" w:sz="0" w:space="0" w:color="auto"/>
        <w:bottom w:val="none" w:sz="0" w:space="0" w:color="auto"/>
        <w:right w:val="none" w:sz="0" w:space="0" w:color="auto"/>
      </w:divBdr>
    </w:div>
    <w:div w:id="1077744933">
      <w:bodyDiv w:val="1"/>
      <w:marLeft w:val="0"/>
      <w:marRight w:val="0"/>
      <w:marTop w:val="0"/>
      <w:marBottom w:val="0"/>
      <w:divBdr>
        <w:top w:val="none" w:sz="0" w:space="0" w:color="auto"/>
        <w:left w:val="none" w:sz="0" w:space="0" w:color="auto"/>
        <w:bottom w:val="none" w:sz="0" w:space="0" w:color="auto"/>
        <w:right w:val="none" w:sz="0" w:space="0" w:color="auto"/>
      </w:divBdr>
    </w:div>
    <w:div w:id="1085616141">
      <w:bodyDiv w:val="1"/>
      <w:marLeft w:val="0"/>
      <w:marRight w:val="0"/>
      <w:marTop w:val="0"/>
      <w:marBottom w:val="0"/>
      <w:divBdr>
        <w:top w:val="none" w:sz="0" w:space="0" w:color="auto"/>
        <w:left w:val="none" w:sz="0" w:space="0" w:color="auto"/>
        <w:bottom w:val="none" w:sz="0" w:space="0" w:color="auto"/>
        <w:right w:val="none" w:sz="0" w:space="0" w:color="auto"/>
      </w:divBdr>
    </w:div>
    <w:div w:id="1178697572">
      <w:bodyDiv w:val="1"/>
      <w:marLeft w:val="0"/>
      <w:marRight w:val="0"/>
      <w:marTop w:val="0"/>
      <w:marBottom w:val="0"/>
      <w:divBdr>
        <w:top w:val="none" w:sz="0" w:space="0" w:color="auto"/>
        <w:left w:val="none" w:sz="0" w:space="0" w:color="auto"/>
        <w:bottom w:val="none" w:sz="0" w:space="0" w:color="auto"/>
        <w:right w:val="none" w:sz="0" w:space="0" w:color="auto"/>
      </w:divBdr>
    </w:div>
    <w:div w:id="1192063014">
      <w:bodyDiv w:val="1"/>
      <w:marLeft w:val="0"/>
      <w:marRight w:val="0"/>
      <w:marTop w:val="0"/>
      <w:marBottom w:val="0"/>
      <w:divBdr>
        <w:top w:val="none" w:sz="0" w:space="0" w:color="auto"/>
        <w:left w:val="none" w:sz="0" w:space="0" w:color="auto"/>
        <w:bottom w:val="none" w:sz="0" w:space="0" w:color="auto"/>
        <w:right w:val="none" w:sz="0" w:space="0" w:color="auto"/>
      </w:divBdr>
    </w:div>
    <w:div w:id="1208487230">
      <w:bodyDiv w:val="1"/>
      <w:marLeft w:val="0"/>
      <w:marRight w:val="0"/>
      <w:marTop w:val="0"/>
      <w:marBottom w:val="0"/>
      <w:divBdr>
        <w:top w:val="none" w:sz="0" w:space="0" w:color="auto"/>
        <w:left w:val="none" w:sz="0" w:space="0" w:color="auto"/>
        <w:bottom w:val="none" w:sz="0" w:space="0" w:color="auto"/>
        <w:right w:val="none" w:sz="0" w:space="0" w:color="auto"/>
      </w:divBdr>
    </w:div>
    <w:div w:id="1441997781">
      <w:bodyDiv w:val="1"/>
      <w:marLeft w:val="0"/>
      <w:marRight w:val="0"/>
      <w:marTop w:val="0"/>
      <w:marBottom w:val="0"/>
      <w:divBdr>
        <w:top w:val="none" w:sz="0" w:space="0" w:color="auto"/>
        <w:left w:val="none" w:sz="0" w:space="0" w:color="auto"/>
        <w:bottom w:val="none" w:sz="0" w:space="0" w:color="auto"/>
        <w:right w:val="none" w:sz="0" w:space="0" w:color="auto"/>
      </w:divBdr>
    </w:div>
    <w:div w:id="1510023909">
      <w:bodyDiv w:val="1"/>
      <w:marLeft w:val="0"/>
      <w:marRight w:val="0"/>
      <w:marTop w:val="0"/>
      <w:marBottom w:val="0"/>
      <w:divBdr>
        <w:top w:val="none" w:sz="0" w:space="0" w:color="auto"/>
        <w:left w:val="none" w:sz="0" w:space="0" w:color="auto"/>
        <w:bottom w:val="none" w:sz="0" w:space="0" w:color="auto"/>
        <w:right w:val="none" w:sz="0" w:space="0" w:color="auto"/>
      </w:divBdr>
    </w:div>
    <w:div w:id="1530029523">
      <w:bodyDiv w:val="1"/>
      <w:marLeft w:val="0"/>
      <w:marRight w:val="0"/>
      <w:marTop w:val="0"/>
      <w:marBottom w:val="0"/>
      <w:divBdr>
        <w:top w:val="none" w:sz="0" w:space="0" w:color="auto"/>
        <w:left w:val="none" w:sz="0" w:space="0" w:color="auto"/>
        <w:bottom w:val="none" w:sz="0" w:space="0" w:color="auto"/>
        <w:right w:val="none" w:sz="0" w:space="0" w:color="auto"/>
      </w:divBdr>
    </w:div>
    <w:div w:id="1563835758">
      <w:bodyDiv w:val="1"/>
      <w:marLeft w:val="0"/>
      <w:marRight w:val="0"/>
      <w:marTop w:val="0"/>
      <w:marBottom w:val="0"/>
      <w:divBdr>
        <w:top w:val="none" w:sz="0" w:space="0" w:color="auto"/>
        <w:left w:val="none" w:sz="0" w:space="0" w:color="auto"/>
        <w:bottom w:val="none" w:sz="0" w:space="0" w:color="auto"/>
        <w:right w:val="none" w:sz="0" w:space="0" w:color="auto"/>
      </w:divBdr>
    </w:div>
    <w:div w:id="1568877473">
      <w:bodyDiv w:val="1"/>
      <w:marLeft w:val="0"/>
      <w:marRight w:val="0"/>
      <w:marTop w:val="0"/>
      <w:marBottom w:val="0"/>
      <w:divBdr>
        <w:top w:val="none" w:sz="0" w:space="0" w:color="auto"/>
        <w:left w:val="none" w:sz="0" w:space="0" w:color="auto"/>
        <w:bottom w:val="none" w:sz="0" w:space="0" w:color="auto"/>
        <w:right w:val="none" w:sz="0" w:space="0" w:color="auto"/>
      </w:divBdr>
    </w:div>
    <w:div w:id="1572500278">
      <w:bodyDiv w:val="1"/>
      <w:marLeft w:val="0"/>
      <w:marRight w:val="0"/>
      <w:marTop w:val="0"/>
      <w:marBottom w:val="0"/>
      <w:divBdr>
        <w:top w:val="none" w:sz="0" w:space="0" w:color="auto"/>
        <w:left w:val="none" w:sz="0" w:space="0" w:color="auto"/>
        <w:bottom w:val="none" w:sz="0" w:space="0" w:color="auto"/>
        <w:right w:val="none" w:sz="0" w:space="0" w:color="auto"/>
      </w:divBdr>
    </w:div>
    <w:div w:id="1658071610">
      <w:bodyDiv w:val="1"/>
      <w:marLeft w:val="0"/>
      <w:marRight w:val="0"/>
      <w:marTop w:val="0"/>
      <w:marBottom w:val="0"/>
      <w:divBdr>
        <w:top w:val="none" w:sz="0" w:space="0" w:color="auto"/>
        <w:left w:val="none" w:sz="0" w:space="0" w:color="auto"/>
        <w:bottom w:val="none" w:sz="0" w:space="0" w:color="auto"/>
        <w:right w:val="none" w:sz="0" w:space="0" w:color="auto"/>
      </w:divBdr>
    </w:div>
    <w:div w:id="1666005910">
      <w:bodyDiv w:val="1"/>
      <w:marLeft w:val="0"/>
      <w:marRight w:val="0"/>
      <w:marTop w:val="0"/>
      <w:marBottom w:val="0"/>
      <w:divBdr>
        <w:top w:val="none" w:sz="0" w:space="0" w:color="auto"/>
        <w:left w:val="none" w:sz="0" w:space="0" w:color="auto"/>
        <w:bottom w:val="none" w:sz="0" w:space="0" w:color="auto"/>
        <w:right w:val="none" w:sz="0" w:space="0" w:color="auto"/>
      </w:divBdr>
    </w:div>
    <w:div w:id="1812208241">
      <w:bodyDiv w:val="1"/>
      <w:marLeft w:val="0"/>
      <w:marRight w:val="0"/>
      <w:marTop w:val="0"/>
      <w:marBottom w:val="0"/>
      <w:divBdr>
        <w:top w:val="none" w:sz="0" w:space="0" w:color="auto"/>
        <w:left w:val="none" w:sz="0" w:space="0" w:color="auto"/>
        <w:bottom w:val="none" w:sz="0" w:space="0" w:color="auto"/>
        <w:right w:val="none" w:sz="0" w:space="0" w:color="auto"/>
      </w:divBdr>
    </w:div>
    <w:div w:id="1872572751">
      <w:bodyDiv w:val="1"/>
      <w:marLeft w:val="0"/>
      <w:marRight w:val="0"/>
      <w:marTop w:val="0"/>
      <w:marBottom w:val="0"/>
      <w:divBdr>
        <w:top w:val="none" w:sz="0" w:space="0" w:color="auto"/>
        <w:left w:val="none" w:sz="0" w:space="0" w:color="auto"/>
        <w:bottom w:val="none" w:sz="0" w:space="0" w:color="auto"/>
        <w:right w:val="none" w:sz="0" w:space="0" w:color="auto"/>
      </w:divBdr>
    </w:div>
    <w:div w:id="1913274040">
      <w:bodyDiv w:val="1"/>
      <w:marLeft w:val="0"/>
      <w:marRight w:val="0"/>
      <w:marTop w:val="0"/>
      <w:marBottom w:val="0"/>
      <w:divBdr>
        <w:top w:val="none" w:sz="0" w:space="0" w:color="auto"/>
        <w:left w:val="none" w:sz="0" w:space="0" w:color="auto"/>
        <w:bottom w:val="none" w:sz="0" w:space="0" w:color="auto"/>
        <w:right w:val="none" w:sz="0" w:space="0" w:color="auto"/>
      </w:divBdr>
    </w:div>
    <w:div w:id="1942953870">
      <w:bodyDiv w:val="1"/>
      <w:marLeft w:val="0"/>
      <w:marRight w:val="0"/>
      <w:marTop w:val="0"/>
      <w:marBottom w:val="0"/>
      <w:divBdr>
        <w:top w:val="none" w:sz="0" w:space="0" w:color="auto"/>
        <w:left w:val="none" w:sz="0" w:space="0" w:color="auto"/>
        <w:bottom w:val="none" w:sz="0" w:space="0" w:color="auto"/>
        <w:right w:val="none" w:sz="0" w:space="0" w:color="auto"/>
      </w:divBdr>
    </w:div>
    <w:div w:id="1956212596">
      <w:bodyDiv w:val="1"/>
      <w:marLeft w:val="0"/>
      <w:marRight w:val="0"/>
      <w:marTop w:val="0"/>
      <w:marBottom w:val="0"/>
      <w:divBdr>
        <w:top w:val="none" w:sz="0" w:space="0" w:color="auto"/>
        <w:left w:val="none" w:sz="0" w:space="0" w:color="auto"/>
        <w:bottom w:val="none" w:sz="0" w:space="0" w:color="auto"/>
        <w:right w:val="none" w:sz="0" w:space="0" w:color="auto"/>
      </w:divBdr>
    </w:div>
    <w:div w:id="1959405967">
      <w:bodyDiv w:val="1"/>
      <w:marLeft w:val="0"/>
      <w:marRight w:val="0"/>
      <w:marTop w:val="0"/>
      <w:marBottom w:val="0"/>
      <w:divBdr>
        <w:top w:val="none" w:sz="0" w:space="0" w:color="auto"/>
        <w:left w:val="none" w:sz="0" w:space="0" w:color="auto"/>
        <w:bottom w:val="none" w:sz="0" w:space="0" w:color="auto"/>
        <w:right w:val="none" w:sz="0" w:space="0" w:color="auto"/>
      </w:divBdr>
    </w:div>
    <w:div w:id="2054882295">
      <w:bodyDiv w:val="1"/>
      <w:marLeft w:val="0"/>
      <w:marRight w:val="0"/>
      <w:marTop w:val="0"/>
      <w:marBottom w:val="0"/>
      <w:divBdr>
        <w:top w:val="none" w:sz="0" w:space="0" w:color="auto"/>
        <w:left w:val="none" w:sz="0" w:space="0" w:color="auto"/>
        <w:bottom w:val="none" w:sz="0" w:space="0" w:color="auto"/>
        <w:right w:val="none" w:sz="0" w:space="0" w:color="auto"/>
      </w:divBdr>
    </w:div>
    <w:div w:id="2066374626">
      <w:bodyDiv w:val="1"/>
      <w:marLeft w:val="0"/>
      <w:marRight w:val="0"/>
      <w:marTop w:val="0"/>
      <w:marBottom w:val="0"/>
      <w:divBdr>
        <w:top w:val="none" w:sz="0" w:space="0" w:color="auto"/>
        <w:left w:val="none" w:sz="0" w:space="0" w:color="auto"/>
        <w:bottom w:val="none" w:sz="0" w:space="0" w:color="auto"/>
        <w:right w:val="none" w:sz="0" w:space="0" w:color="auto"/>
      </w:divBdr>
    </w:div>
    <w:div w:id="2069066997">
      <w:bodyDiv w:val="1"/>
      <w:marLeft w:val="0"/>
      <w:marRight w:val="0"/>
      <w:marTop w:val="0"/>
      <w:marBottom w:val="0"/>
      <w:divBdr>
        <w:top w:val="none" w:sz="0" w:space="0" w:color="auto"/>
        <w:left w:val="none" w:sz="0" w:space="0" w:color="auto"/>
        <w:bottom w:val="none" w:sz="0" w:space="0" w:color="auto"/>
        <w:right w:val="none" w:sz="0" w:space="0" w:color="auto"/>
      </w:divBdr>
    </w:div>
    <w:div w:id="2109304112">
      <w:bodyDiv w:val="1"/>
      <w:marLeft w:val="0"/>
      <w:marRight w:val="0"/>
      <w:marTop w:val="0"/>
      <w:marBottom w:val="0"/>
      <w:divBdr>
        <w:top w:val="none" w:sz="0" w:space="0" w:color="auto"/>
        <w:left w:val="none" w:sz="0" w:space="0" w:color="auto"/>
        <w:bottom w:val="none" w:sz="0" w:space="0" w:color="auto"/>
        <w:right w:val="none" w:sz="0" w:space="0" w:color="auto"/>
      </w:divBdr>
    </w:div>
    <w:div w:id="21364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Lohr-hopp, Wendy (DCJS)</cp:lastModifiedBy>
  <cp:revision>2</cp:revision>
  <cp:lastPrinted>2024-09-10T18:52:00Z</cp:lastPrinted>
  <dcterms:created xsi:type="dcterms:W3CDTF">2025-09-12T14:50:00Z</dcterms:created>
  <dcterms:modified xsi:type="dcterms:W3CDTF">2025-09-12T14:50:00Z</dcterms:modified>
</cp:coreProperties>
</file>