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tblpY="277"/>
        <w:tblW w:w="0" w:type="auto"/>
        <w:tblLook w:val="04A0" w:firstRow="1" w:lastRow="0" w:firstColumn="1" w:lastColumn="0" w:noHBand="0" w:noVBand="1"/>
      </w:tblPr>
      <w:tblGrid>
        <w:gridCol w:w="1075"/>
        <w:gridCol w:w="2700"/>
        <w:gridCol w:w="5575"/>
      </w:tblGrid>
      <w:tr w:rsidR="00BA5CA5" w14:paraId="75A41BC2" w14:textId="77777777" w:rsidTr="00BA5CA5">
        <w:tc>
          <w:tcPr>
            <w:tcW w:w="1075" w:type="dxa"/>
          </w:tcPr>
          <w:p w14:paraId="17440FAE" w14:textId="77777777" w:rsidR="00BA5CA5" w:rsidRDefault="00BA5CA5" w:rsidP="00BA5CA5">
            <w:r>
              <w:t>CMP Section</w:t>
            </w:r>
          </w:p>
        </w:tc>
        <w:tc>
          <w:tcPr>
            <w:tcW w:w="2700" w:type="dxa"/>
          </w:tcPr>
          <w:p w14:paraId="291A5291" w14:textId="77777777" w:rsidR="00BA5CA5" w:rsidRDefault="00BA5CA5" w:rsidP="00BA5CA5">
            <w:r>
              <w:t>Emergency Management Phase</w:t>
            </w:r>
          </w:p>
        </w:tc>
        <w:tc>
          <w:tcPr>
            <w:tcW w:w="5575" w:type="dxa"/>
          </w:tcPr>
          <w:p w14:paraId="71DE3BAC" w14:textId="77777777" w:rsidR="00BA5CA5" w:rsidRDefault="00BA5CA5" w:rsidP="00BA5CA5">
            <w:r>
              <w:t>Phase Characteristics</w:t>
            </w:r>
          </w:p>
        </w:tc>
      </w:tr>
      <w:tr w:rsidR="00BA5CA5" w14:paraId="472D97CE" w14:textId="77777777" w:rsidTr="00BA5CA5">
        <w:tc>
          <w:tcPr>
            <w:tcW w:w="1075" w:type="dxa"/>
            <w:vMerge w:val="restart"/>
            <w:textDirection w:val="btLr"/>
            <w:vAlign w:val="center"/>
          </w:tcPr>
          <w:p w14:paraId="33C9DF6F" w14:textId="77777777" w:rsidR="00BA5CA5" w:rsidRDefault="00BA5CA5" w:rsidP="00BA5CA5">
            <w:pPr>
              <w:ind w:left="113" w:right="113"/>
              <w:jc w:val="center"/>
            </w:pPr>
            <w:r>
              <w:t>BEFORE</w:t>
            </w:r>
          </w:p>
        </w:tc>
        <w:tc>
          <w:tcPr>
            <w:tcW w:w="2700" w:type="dxa"/>
          </w:tcPr>
          <w:p w14:paraId="628D65D6" w14:textId="77777777" w:rsidR="00BA5CA5" w:rsidRDefault="00BA5CA5" w:rsidP="00BA5CA5">
            <w:r>
              <w:t>Prevention</w:t>
            </w:r>
          </w:p>
        </w:tc>
        <w:tc>
          <w:tcPr>
            <w:tcW w:w="5575" w:type="dxa"/>
          </w:tcPr>
          <w:p w14:paraId="6588ABA4" w14:textId="77777777" w:rsidR="00BA5CA5" w:rsidRDefault="00BA5CA5" w:rsidP="00BA5CA5">
            <w:r w:rsidRPr="00444C55">
              <w:t>Actions taken to avoid an incident or to intervene to stop an incident from occurring, including those actions designed to ensure the school can deliver essential educational and support services to its constituents.</w:t>
            </w:r>
          </w:p>
        </w:tc>
      </w:tr>
      <w:tr w:rsidR="00BA5CA5" w14:paraId="4A62DF24" w14:textId="77777777" w:rsidTr="00BA5CA5">
        <w:tc>
          <w:tcPr>
            <w:tcW w:w="1075" w:type="dxa"/>
            <w:vMerge/>
          </w:tcPr>
          <w:p w14:paraId="3B25A2E3" w14:textId="77777777" w:rsidR="00BA5CA5" w:rsidRDefault="00BA5CA5" w:rsidP="00BA5CA5"/>
        </w:tc>
        <w:tc>
          <w:tcPr>
            <w:tcW w:w="2700" w:type="dxa"/>
          </w:tcPr>
          <w:p w14:paraId="2DE6AB45" w14:textId="77777777" w:rsidR="00BA5CA5" w:rsidRDefault="00BA5CA5" w:rsidP="00BA5CA5">
            <w:r>
              <w:t>Mitigation</w:t>
            </w:r>
          </w:p>
        </w:tc>
        <w:tc>
          <w:tcPr>
            <w:tcW w:w="5575" w:type="dxa"/>
          </w:tcPr>
          <w:p w14:paraId="05453084" w14:textId="77777777" w:rsidR="00BA5CA5" w:rsidRDefault="00BA5CA5" w:rsidP="00BA5CA5">
            <w:r w:rsidRPr="00444C55">
              <w:t>Sustained activities aimed at reducing the loss of life and property from natural and/or human-caused disasters by avoiding or lessening the impact of an unavoidable disaster.</w:t>
            </w:r>
          </w:p>
        </w:tc>
      </w:tr>
      <w:tr w:rsidR="00BA5CA5" w14:paraId="5D85CCFC" w14:textId="77777777" w:rsidTr="00BA5CA5">
        <w:tc>
          <w:tcPr>
            <w:tcW w:w="1075" w:type="dxa"/>
            <w:vMerge/>
          </w:tcPr>
          <w:p w14:paraId="4E1741D7" w14:textId="77777777" w:rsidR="00BA5CA5" w:rsidRDefault="00BA5CA5" w:rsidP="00BA5CA5"/>
        </w:tc>
        <w:tc>
          <w:tcPr>
            <w:tcW w:w="2700" w:type="dxa"/>
          </w:tcPr>
          <w:p w14:paraId="6D45C62B" w14:textId="77777777" w:rsidR="00BA5CA5" w:rsidRDefault="00BA5CA5" w:rsidP="00BA5CA5">
            <w:r>
              <w:t>Protection</w:t>
            </w:r>
          </w:p>
        </w:tc>
        <w:tc>
          <w:tcPr>
            <w:tcW w:w="5575" w:type="dxa"/>
          </w:tcPr>
          <w:p w14:paraId="28D0637F" w14:textId="77777777" w:rsidR="00BA5CA5" w:rsidRDefault="00BA5CA5" w:rsidP="00BA5CA5">
            <w:r w:rsidRPr="00444C55">
              <w:t>Actions taken to safeguard all students, staff, assets and critical infrastructure elements against threats and hazards.</w:t>
            </w:r>
          </w:p>
        </w:tc>
      </w:tr>
      <w:tr w:rsidR="00BA5CA5" w14:paraId="3CA34DB5" w14:textId="77777777" w:rsidTr="00BA5CA5">
        <w:tc>
          <w:tcPr>
            <w:tcW w:w="1075" w:type="dxa"/>
            <w:vMerge/>
          </w:tcPr>
          <w:p w14:paraId="7115D52E" w14:textId="77777777" w:rsidR="00BA5CA5" w:rsidRDefault="00BA5CA5" w:rsidP="00BA5CA5"/>
        </w:tc>
        <w:tc>
          <w:tcPr>
            <w:tcW w:w="2700" w:type="dxa"/>
          </w:tcPr>
          <w:p w14:paraId="6DA04CA8" w14:textId="77777777" w:rsidR="00BA5CA5" w:rsidRDefault="00BA5CA5" w:rsidP="00BA5CA5">
            <w:r>
              <w:t>Preparedness</w:t>
            </w:r>
          </w:p>
        </w:tc>
        <w:tc>
          <w:tcPr>
            <w:tcW w:w="5575" w:type="dxa"/>
          </w:tcPr>
          <w:p w14:paraId="39A9A81E" w14:textId="77777777" w:rsidR="00BA5CA5" w:rsidRDefault="00BA5CA5" w:rsidP="00BA5CA5">
            <w:r w:rsidRPr="00444C55">
              <w:t>Undertake actions to ensure that all stakeholders can respond in a rapid, coordinated, and effective manner to help save lives and minimize damage. Preparedness is a cycle of planning, organizing, training, equipping, exercising, evaluating, and taking corrective action to ensure effective coordination during incident response</w:t>
            </w:r>
            <w:r>
              <w:t>.</w:t>
            </w:r>
          </w:p>
        </w:tc>
      </w:tr>
      <w:tr w:rsidR="00BA5CA5" w14:paraId="782CA445" w14:textId="77777777" w:rsidTr="00BA5CA5">
        <w:trPr>
          <w:cantSplit/>
          <w:trHeight w:val="1134"/>
        </w:trPr>
        <w:tc>
          <w:tcPr>
            <w:tcW w:w="1075" w:type="dxa"/>
            <w:textDirection w:val="btLr"/>
            <w:vAlign w:val="center"/>
          </w:tcPr>
          <w:p w14:paraId="5FE8E52E" w14:textId="77777777" w:rsidR="00BA5CA5" w:rsidRPr="003708EC" w:rsidRDefault="00BA5CA5" w:rsidP="00BA5CA5">
            <w:pPr>
              <w:ind w:left="113" w:right="113"/>
              <w:jc w:val="center"/>
            </w:pPr>
            <w:r>
              <w:t>DURING</w:t>
            </w:r>
          </w:p>
        </w:tc>
        <w:tc>
          <w:tcPr>
            <w:tcW w:w="2700" w:type="dxa"/>
          </w:tcPr>
          <w:p w14:paraId="04ACFA0B" w14:textId="77777777" w:rsidR="00BA5CA5" w:rsidRDefault="00BA5CA5" w:rsidP="00BA5CA5">
            <w:r>
              <w:t>Response</w:t>
            </w:r>
          </w:p>
        </w:tc>
        <w:tc>
          <w:tcPr>
            <w:tcW w:w="5575" w:type="dxa"/>
          </w:tcPr>
          <w:p w14:paraId="7B0133C9" w14:textId="77777777" w:rsidR="00BA5CA5" w:rsidRPr="00444C55" w:rsidRDefault="00BA5CA5" w:rsidP="00BA5CA5">
            <w:r>
              <w:t>A</w:t>
            </w:r>
            <w:r w:rsidRPr="007F1386">
              <w:t>ctivities address the short-term, direct effects of the incident. These efforts are designed to reduce the likelihood of secondary loss or damage and to expedite recovery, including the swift resumption of educational services.</w:t>
            </w:r>
          </w:p>
        </w:tc>
      </w:tr>
      <w:tr w:rsidR="00BA5CA5" w14:paraId="3485CCBC" w14:textId="77777777" w:rsidTr="00BA5CA5">
        <w:trPr>
          <w:cantSplit/>
          <w:trHeight w:val="1134"/>
        </w:trPr>
        <w:tc>
          <w:tcPr>
            <w:tcW w:w="1075" w:type="dxa"/>
            <w:textDirection w:val="btLr"/>
            <w:vAlign w:val="center"/>
          </w:tcPr>
          <w:p w14:paraId="63A6EDD0" w14:textId="77777777" w:rsidR="00BA5CA5" w:rsidRDefault="00BA5CA5" w:rsidP="00BA5CA5">
            <w:pPr>
              <w:ind w:left="113" w:right="113"/>
              <w:jc w:val="center"/>
            </w:pPr>
            <w:r>
              <w:t>AFTER</w:t>
            </w:r>
          </w:p>
        </w:tc>
        <w:tc>
          <w:tcPr>
            <w:tcW w:w="2700" w:type="dxa"/>
          </w:tcPr>
          <w:p w14:paraId="15FE436B" w14:textId="77777777" w:rsidR="00BA5CA5" w:rsidRDefault="00BA5CA5" w:rsidP="00BA5CA5">
            <w:r>
              <w:t>Recovery</w:t>
            </w:r>
          </w:p>
        </w:tc>
        <w:tc>
          <w:tcPr>
            <w:tcW w:w="5575" w:type="dxa"/>
          </w:tcPr>
          <w:p w14:paraId="566D2734" w14:textId="77777777" w:rsidR="00BA5CA5" w:rsidRDefault="00BA5CA5" w:rsidP="00BA5CA5">
            <w:r>
              <w:t>A</w:t>
            </w:r>
            <w:r w:rsidRPr="001E4294">
              <w:t xml:space="preserve">n ongoing process that includes not only the mental, emotional, and physical healing process of students, faculty, and staff, but also a school’s physical (buildings and grounds), fiscal (daily business operations), and academic (return to classroom learning) recuperation. </w:t>
            </w:r>
            <w:bookmarkStart w:id="0" w:name="_heading=h.1nia2ey" w:colFirst="0" w:colLast="0"/>
            <w:bookmarkStart w:id="1" w:name="_heading=h.2mn7vak" w:colFirst="0" w:colLast="0"/>
            <w:bookmarkEnd w:id="0"/>
            <w:bookmarkEnd w:id="1"/>
          </w:p>
        </w:tc>
      </w:tr>
    </w:tbl>
    <w:p w14:paraId="03915E3C" w14:textId="107E46B3" w:rsidR="00251362" w:rsidRPr="00170D80" w:rsidRDefault="00251362" w:rsidP="003708EC">
      <w:pPr>
        <w:rPr>
          <w:b/>
          <w:bCs/>
          <w:sz w:val="36"/>
          <w:szCs w:val="36"/>
        </w:rPr>
      </w:pPr>
    </w:p>
    <w:p w14:paraId="5541BE40" w14:textId="77777777" w:rsidR="00251362" w:rsidRDefault="00251362" w:rsidP="003708EC"/>
    <w:sectPr w:rsidR="00251362" w:rsidSect="00BA5CA5">
      <w:headerReference w:type="default" r:id="rId7"/>
      <w:pgSz w:w="12240" w:h="15840"/>
      <w:pgMar w:top="1440" w:right="1440" w:bottom="1440" w:left="144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72349" w14:textId="77777777" w:rsidR="006C62CB" w:rsidRDefault="006C62CB" w:rsidP="00170D80">
      <w:pPr>
        <w:spacing w:after="0" w:line="240" w:lineRule="auto"/>
      </w:pPr>
      <w:r>
        <w:separator/>
      </w:r>
    </w:p>
  </w:endnote>
  <w:endnote w:type="continuationSeparator" w:id="0">
    <w:p w14:paraId="77D2A9CF" w14:textId="77777777" w:rsidR="006C62CB" w:rsidRDefault="006C62CB" w:rsidP="00170D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Baskerville">
    <w:panose1 w:val="02020502070401020303"/>
    <w:charset w:val="00"/>
    <w:family w:val="roman"/>
    <w:pitch w:val="variable"/>
    <w:sig w:usb0="80000067" w:usb1="02000000"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BASKERVILLE SEMIBOLD">
    <w:panose1 w:val="02020702070400020203"/>
    <w:charset w:val="00"/>
    <w:family w:val="roman"/>
    <w:pitch w:val="variable"/>
    <w:sig w:usb0="80000067" w:usb1="02000040" w:usb2="00000000" w:usb3="00000000" w:csb0="0000019F" w:csb1="00000000"/>
  </w:font>
  <w:font w:name="Helvetica Neue">
    <w:panose1 w:val="02000503000000020004"/>
    <w:charset w:val="00"/>
    <w:family w:val="auto"/>
    <w:pitch w:val="variable"/>
    <w:sig w:usb0="E50002FF" w:usb1="500079DB" w:usb2="0000001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87652" w14:textId="77777777" w:rsidR="006C62CB" w:rsidRDefault="006C62CB" w:rsidP="00170D80">
      <w:pPr>
        <w:spacing w:after="0" w:line="240" w:lineRule="auto"/>
      </w:pPr>
      <w:r>
        <w:separator/>
      </w:r>
    </w:p>
  </w:footnote>
  <w:footnote w:type="continuationSeparator" w:id="0">
    <w:p w14:paraId="516BD5F1" w14:textId="77777777" w:rsidR="006C62CB" w:rsidRDefault="006C62CB" w:rsidP="00170D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80592" w14:textId="4D4A6F7B" w:rsidR="00BA5CA5" w:rsidRDefault="00BA5CA5" w:rsidP="00BA5CA5">
    <w:pPr>
      <w:spacing w:after="0" w:line="240" w:lineRule="auto"/>
      <w:rPr>
        <w:b/>
        <w:bCs/>
        <w:color w:val="FFFFFF" w:themeColor="background1"/>
        <w:szCs w:val="26"/>
      </w:rPr>
    </w:pPr>
    <w:r w:rsidRPr="00C95BBD">
      <w:rPr>
        <w:noProof/>
        <w:color w:val="FFFFFF" w:themeColor="background1"/>
        <w:szCs w:val="26"/>
      </w:rPr>
      <w:drawing>
        <wp:anchor distT="0" distB="0" distL="114300" distR="114300" simplePos="0" relativeHeight="251660288" behindDoc="0" locked="0" layoutInCell="1" allowOverlap="1" wp14:anchorId="51AC1B36" wp14:editId="4559A121">
          <wp:simplePos x="0" y="0"/>
          <wp:positionH relativeFrom="column">
            <wp:posOffset>-798195</wp:posOffset>
          </wp:positionH>
          <wp:positionV relativeFrom="paragraph">
            <wp:posOffset>-155388</wp:posOffset>
          </wp:positionV>
          <wp:extent cx="614680" cy="614680"/>
          <wp:effectExtent l="0" t="0" r="0" b="0"/>
          <wp:wrapNone/>
          <wp:docPr id="65630743" name="Picture 65630743" descr="Chris Scuderi - Public Safety and Law Enforcement Training Coordinator - Virginia  DCJS | Linked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ris Scuderi - Public Safety and Law Enforcement Training Coordinator - Virginia  DCJS | LinkedIn"/>
                  <pic:cNvPicPr>
                    <a:picLocks noChangeAspect="1" noChangeArrowheads="1"/>
                  </pic:cNvPicPr>
                </pic:nvPicPr>
                <pic:blipFill>
                  <a:blip r:embed="rId1">
                    <a:clrChange>
                      <a:clrFrom>
                        <a:srgbClr val="FCFFFF"/>
                      </a:clrFrom>
                      <a:clrTo>
                        <a:srgbClr val="FCFFFF">
                          <a:alpha val="0"/>
                        </a:srgbClr>
                      </a:clrTo>
                    </a:clrChange>
                    <a:biLevel thresh="25000"/>
                    <a:extLst>
                      <a:ext uri="{28A0092B-C50C-407E-A947-70E740481C1C}">
                        <a14:useLocalDpi xmlns:a14="http://schemas.microsoft.com/office/drawing/2010/main" val="0"/>
                      </a:ext>
                    </a:extLst>
                  </a:blip>
                  <a:srcRect/>
                  <a:stretch>
                    <a:fillRect/>
                  </a:stretch>
                </pic:blipFill>
                <pic:spPr bwMode="auto">
                  <a:xfrm>
                    <a:off x="0" y="0"/>
                    <a:ext cx="614680" cy="614680"/>
                  </a:xfrm>
                  <a:prstGeom prst="rect">
                    <a:avLst/>
                  </a:prstGeom>
                  <a:noFill/>
                  <a:ln>
                    <a:noFill/>
                  </a:ln>
                </pic:spPr>
              </pic:pic>
            </a:graphicData>
          </a:graphic>
          <wp14:sizeRelH relativeFrom="page">
            <wp14:pctWidth>0</wp14:pctWidth>
          </wp14:sizeRelH>
          <wp14:sizeRelV relativeFrom="page">
            <wp14:pctHeight>0</wp14:pctHeight>
          </wp14:sizeRelV>
        </wp:anchor>
      </w:drawing>
    </w:r>
    <w:r w:rsidR="00170D80" w:rsidRPr="00C95BBD">
      <w:rPr>
        <w:noProof/>
        <w:color w:val="FFFFFF" w:themeColor="background1"/>
        <w:szCs w:val="26"/>
        <w:lang w:eastAsia="zh-CN"/>
      </w:rPr>
      <mc:AlternateContent>
        <mc:Choice Requires="wps">
          <w:drawing>
            <wp:anchor distT="0" distB="0" distL="114300" distR="114300" simplePos="0" relativeHeight="251659264" behindDoc="1" locked="0" layoutInCell="1" allowOverlap="1" wp14:anchorId="5E63A91F" wp14:editId="305BED51">
              <wp:simplePos x="0" y="0"/>
              <wp:positionH relativeFrom="column">
                <wp:posOffset>-927847</wp:posOffset>
              </wp:positionH>
              <wp:positionV relativeFrom="page">
                <wp:posOffset>13447</wp:posOffset>
              </wp:positionV>
              <wp:extent cx="7772400" cy="874059"/>
              <wp:effectExtent l="0" t="0" r="0" b="2540"/>
              <wp:wrapNone/>
              <wp:docPr id="42" name="Rectangle 4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72400" cy="874059"/>
                      </a:xfrm>
                      <a:prstGeom prst="rect">
                        <a:avLst/>
                      </a:prstGeom>
                      <a:solidFill>
                        <a:schemeClr val="accent5">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741F58E" id="Rectangle 42" o:spid="_x0000_s1026" alt="&quot;&quot;" style="position:absolute;margin-left:-73.05pt;margin-top:1.05pt;width:612pt;height:68.8pt;z-index:-25165721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" fillcolor="#1f4d78 [1608]" stroked="f" strokeweight="1pt">
              <w10:wrap anchory="page"/>
            </v:rect>
          </w:pict>
        </mc:Fallback>
      </mc:AlternateContent>
    </w:r>
    <w:r w:rsidR="00170D80" w:rsidRPr="00C95BBD">
      <w:rPr>
        <w:b/>
        <w:bCs/>
        <w:color w:val="FFFFFF" w:themeColor="background1"/>
        <w:szCs w:val="26"/>
      </w:rPr>
      <w:t>School Crisis, Emergency Management, and Medical Emergency Response Plan</w:t>
    </w:r>
  </w:p>
  <w:p w14:paraId="0E41B8FA" w14:textId="45C7791E" w:rsidR="00BA5CA5" w:rsidRPr="002D6DE8" w:rsidRDefault="00BA5CA5" w:rsidP="00BA5CA5">
    <w:pPr>
      <w:spacing w:after="0" w:line="240" w:lineRule="auto"/>
      <w:rPr>
        <w:b/>
        <w:bCs/>
        <w:color w:val="FFFFFF" w:themeColor="background1"/>
        <w:szCs w:val="26"/>
      </w:rPr>
    </w:pPr>
    <w:r>
      <w:rPr>
        <w:b/>
        <w:bCs/>
        <w:color w:val="FFFFFF" w:themeColor="background1"/>
        <w:szCs w:val="26"/>
      </w:rPr>
      <w:t>Phases of Emergency Management</w:t>
    </w:r>
  </w:p>
  <w:p w14:paraId="7876C2F0" w14:textId="77777777" w:rsidR="00170D80" w:rsidRPr="00170D80" w:rsidRDefault="00170D80" w:rsidP="00170D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E06AC9E2"/>
    <w:lvl w:ilvl="0">
      <w:start w:val="1"/>
      <w:numFmt w:val="decimal"/>
      <w:lvlText w:val="%1."/>
      <w:lvlJc w:val="left"/>
      <w:pPr>
        <w:ind w:left="1080" w:hanging="360"/>
      </w:pPr>
      <w:rPr>
        <w:rFonts w:hint="default"/>
      </w:rPr>
    </w:lvl>
  </w:abstractNum>
  <w:abstractNum w:abstractNumId="1" w15:restartNumberingAfterBreak="0">
    <w:nsid w:val="FFFFFF83"/>
    <w:multiLevelType w:val="singleLevel"/>
    <w:tmpl w:val="E304D028"/>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8"/>
    <w:multiLevelType w:val="singleLevel"/>
    <w:tmpl w:val="E572D0C8"/>
    <w:lvl w:ilvl="0">
      <w:start w:val="1"/>
      <w:numFmt w:val="bullet"/>
      <w:pStyle w:val="BulletedList"/>
      <w:lvlText w:val=""/>
      <w:lvlJc w:val="left"/>
      <w:pPr>
        <w:ind w:left="720" w:hanging="360"/>
      </w:pPr>
      <w:rPr>
        <w:rFonts w:ascii="Symbol" w:hAnsi="Symbol" w:hint="default"/>
      </w:rPr>
    </w:lvl>
  </w:abstractNum>
  <w:abstractNum w:abstractNumId="3" w15:restartNumberingAfterBreak="0">
    <w:nsid w:val="FFFFFF89"/>
    <w:multiLevelType w:val="singleLevel"/>
    <w:tmpl w:val="84C4F3E8"/>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2B6B5BC5"/>
    <w:multiLevelType w:val="multilevel"/>
    <w:tmpl w:val="ECD416D4"/>
    <w:styleLink w:val="Bullets"/>
    <w:lvl w:ilvl="0">
      <w:start w:val="1"/>
      <w:numFmt w:val="bullet"/>
      <w:lvlText w:val="●"/>
      <w:lvlJc w:val="left"/>
      <w:pPr>
        <w:ind w:left="720" w:hanging="360"/>
      </w:pPr>
      <w:rPr>
        <w:rFonts w:ascii="Arial Narrow" w:eastAsia="Noto Sans Symbols" w:hAnsi="Arial Narrow" w:cs="Noto Sans Symbols"/>
        <w:b/>
        <w:i w:val="0"/>
        <w:sz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27A6041"/>
    <w:multiLevelType w:val="multilevel"/>
    <w:tmpl w:val="05C81D7E"/>
    <w:lvl w:ilvl="0">
      <w:start w:val="1"/>
      <w:numFmt w:val="decimal"/>
      <w:pStyle w:val="ListNumber2"/>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num w:numId="1" w16cid:durableId="1462843905">
    <w:abstractNumId w:val="4"/>
  </w:num>
  <w:num w:numId="2" w16cid:durableId="2123065799">
    <w:abstractNumId w:val="3"/>
  </w:num>
  <w:num w:numId="3" w16cid:durableId="920868400">
    <w:abstractNumId w:val="2"/>
  </w:num>
  <w:num w:numId="4" w16cid:durableId="946081384">
    <w:abstractNumId w:val="2"/>
  </w:num>
  <w:num w:numId="5" w16cid:durableId="179205883">
    <w:abstractNumId w:val="0"/>
  </w:num>
  <w:num w:numId="6" w16cid:durableId="40717507">
    <w:abstractNumId w:val="0"/>
  </w:num>
  <w:num w:numId="7" w16cid:durableId="1928341752">
    <w:abstractNumId w:val="5"/>
  </w:num>
  <w:num w:numId="8" w16cid:durableId="1105031358">
    <w:abstractNumId w:val="5"/>
  </w:num>
  <w:num w:numId="9" w16cid:durableId="464590494">
    <w:abstractNumId w:val="5"/>
  </w:num>
  <w:num w:numId="10" w16cid:durableId="2052530898">
    <w:abstractNumId w:val="3"/>
  </w:num>
  <w:num w:numId="11" w16cid:durableId="1951276290">
    <w:abstractNumId w:val="1"/>
  </w:num>
  <w:num w:numId="12" w16cid:durableId="18658967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A91"/>
    <w:rsid w:val="000B1751"/>
    <w:rsid w:val="00153362"/>
    <w:rsid w:val="00170D80"/>
    <w:rsid w:val="00182F0D"/>
    <w:rsid w:val="001E3917"/>
    <w:rsid w:val="001E3BDB"/>
    <w:rsid w:val="001F7176"/>
    <w:rsid w:val="001F799A"/>
    <w:rsid w:val="00251362"/>
    <w:rsid w:val="003708EC"/>
    <w:rsid w:val="004D0DA6"/>
    <w:rsid w:val="00565FB5"/>
    <w:rsid w:val="00594CF2"/>
    <w:rsid w:val="00627732"/>
    <w:rsid w:val="006C62CB"/>
    <w:rsid w:val="008474C2"/>
    <w:rsid w:val="00937853"/>
    <w:rsid w:val="00993251"/>
    <w:rsid w:val="00AA2521"/>
    <w:rsid w:val="00B61758"/>
    <w:rsid w:val="00BA5CA5"/>
    <w:rsid w:val="00C973A8"/>
    <w:rsid w:val="00CC4D93"/>
    <w:rsid w:val="00D55A91"/>
    <w:rsid w:val="00FF2D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0C0ECEF"/>
  <w15:chartTrackingRefBased/>
  <w15:docId w15:val="{60E2ACEB-4F40-7D49-A532-87916FD79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2D2A"/>
    <w:pPr>
      <w:spacing w:after="200" w:line="276" w:lineRule="auto"/>
    </w:pPr>
    <w:rPr>
      <w:rFonts w:ascii="Arial" w:eastAsiaTheme="minorEastAsia" w:hAnsi="Arial" w:cs="Times New Roman"/>
      <w:kern w:val="0"/>
      <w:szCs w:val="22"/>
      <w14:ligatures w14:val="none"/>
    </w:rPr>
  </w:style>
  <w:style w:type="paragraph" w:styleId="Heading1">
    <w:name w:val="heading 1"/>
    <w:basedOn w:val="Normal"/>
    <w:next w:val="Normal"/>
    <w:link w:val="Heading1Char"/>
    <w:autoRedefine/>
    <w:uiPriority w:val="9"/>
    <w:qFormat/>
    <w:rsid w:val="00FF2D2A"/>
    <w:pPr>
      <w:keepNext/>
      <w:keepLines/>
      <w:spacing w:before="120" w:after="120" w:line="240" w:lineRule="auto"/>
      <w:jc w:val="center"/>
      <w:outlineLvl w:val="0"/>
    </w:pPr>
    <w:rPr>
      <w:rFonts w:eastAsiaTheme="majorEastAsia" w:cstheme="majorBidi"/>
      <w:b/>
      <w:bCs/>
      <w:color w:val="2F5496" w:themeColor="accent1" w:themeShade="BF"/>
      <w:kern w:val="2"/>
      <w:sz w:val="36"/>
      <w:szCs w:val="32"/>
      <w14:ligatures w14:val="standardContextual"/>
    </w:rPr>
  </w:style>
  <w:style w:type="paragraph" w:styleId="Heading2">
    <w:name w:val="heading 2"/>
    <w:basedOn w:val="Normal"/>
    <w:next w:val="Normal"/>
    <w:link w:val="Heading2Char"/>
    <w:autoRedefine/>
    <w:uiPriority w:val="9"/>
    <w:unhideWhenUsed/>
    <w:qFormat/>
    <w:rsid w:val="001F7176"/>
    <w:pPr>
      <w:keepNext/>
      <w:keepLines/>
      <w:spacing w:before="360" w:after="80" w:line="240" w:lineRule="auto"/>
      <w:outlineLvl w:val="1"/>
    </w:pPr>
    <w:rPr>
      <w:rFonts w:ascii="Calibri" w:eastAsia="Calibri" w:hAnsi="Calibri" w:cs="Calibri"/>
      <w:b/>
      <w:sz w:val="36"/>
      <w:szCs w:val="36"/>
    </w:rPr>
  </w:style>
  <w:style w:type="paragraph" w:styleId="Heading3">
    <w:name w:val="heading 3"/>
    <w:basedOn w:val="Normal"/>
    <w:next w:val="Normal"/>
    <w:link w:val="Heading3Char"/>
    <w:autoRedefine/>
    <w:uiPriority w:val="9"/>
    <w:unhideWhenUsed/>
    <w:qFormat/>
    <w:rsid w:val="00FF2D2A"/>
    <w:pPr>
      <w:keepNext/>
      <w:keepLines/>
      <w:spacing w:after="0" w:line="240" w:lineRule="auto"/>
      <w:outlineLvl w:val="2"/>
    </w:pPr>
    <w:rPr>
      <w:rFonts w:eastAsiaTheme="majorEastAsia" w:cstheme="majorBidi"/>
      <w:b/>
      <w:color w:val="2F5496" w:themeColor="accent1" w:themeShade="BF"/>
      <w:kern w:val="2"/>
      <w:szCs w:val="24"/>
      <w14:ligatures w14:val="standardContextual"/>
    </w:rPr>
  </w:style>
  <w:style w:type="paragraph" w:styleId="Heading4">
    <w:name w:val="heading 4"/>
    <w:basedOn w:val="Normal"/>
    <w:next w:val="Normal"/>
    <w:link w:val="Heading4Char"/>
    <w:autoRedefine/>
    <w:uiPriority w:val="9"/>
    <w:semiHidden/>
    <w:unhideWhenUsed/>
    <w:qFormat/>
    <w:rsid w:val="000B1751"/>
    <w:pPr>
      <w:keepNext/>
      <w:keepLines/>
      <w:spacing w:before="120" w:after="80"/>
      <w:outlineLvl w:val="3"/>
    </w:pPr>
    <w:rPr>
      <w:rFonts w:ascii="Arial Narrow" w:hAnsi="Arial Narrow"/>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2D2A"/>
    <w:rPr>
      <w:rFonts w:ascii="Arial" w:eastAsiaTheme="majorEastAsia" w:hAnsi="Arial" w:cstheme="majorBidi"/>
      <w:b/>
      <w:bCs/>
      <w:color w:val="2F5496" w:themeColor="accent1" w:themeShade="BF"/>
      <w:sz w:val="36"/>
      <w:szCs w:val="32"/>
    </w:rPr>
  </w:style>
  <w:style w:type="paragraph" w:styleId="Subtitle">
    <w:name w:val="Subtitle"/>
    <w:basedOn w:val="Normal"/>
    <w:next w:val="Normal"/>
    <w:link w:val="SubtitleChar"/>
    <w:uiPriority w:val="11"/>
    <w:qFormat/>
    <w:rsid w:val="00CC4D93"/>
    <w:pPr>
      <w:numPr>
        <w:ilvl w:val="1"/>
      </w:numPr>
      <w:spacing w:after="160"/>
    </w:pPr>
    <w:rPr>
      <w:rFonts w:ascii="Baskerville" w:hAnsi="Baskerville"/>
      <w:color w:val="5A5A5A" w:themeColor="text1" w:themeTint="A5"/>
      <w:spacing w:val="15"/>
      <w:sz w:val="22"/>
    </w:rPr>
  </w:style>
  <w:style w:type="character" w:customStyle="1" w:styleId="SubtitleChar">
    <w:name w:val="Subtitle Char"/>
    <w:basedOn w:val="DefaultParagraphFont"/>
    <w:link w:val="Subtitle"/>
    <w:uiPriority w:val="11"/>
    <w:rsid w:val="00CC4D93"/>
    <w:rPr>
      <w:rFonts w:ascii="Baskerville" w:eastAsiaTheme="minorEastAsia" w:hAnsi="Baskerville"/>
      <w:color w:val="5A5A5A" w:themeColor="text1" w:themeTint="A5"/>
      <w:spacing w:val="15"/>
      <w:sz w:val="22"/>
      <w:szCs w:val="22"/>
    </w:rPr>
  </w:style>
  <w:style w:type="paragraph" w:customStyle="1" w:styleId="Headings2">
    <w:name w:val="Headings 2"/>
    <w:autoRedefine/>
    <w:qFormat/>
    <w:rsid w:val="00565FB5"/>
    <w:rPr>
      <w:rFonts w:asciiTheme="majorHAnsi" w:eastAsiaTheme="majorEastAsia" w:hAnsiTheme="majorHAnsi" w:cstheme="majorBidi"/>
      <w:b/>
      <w:color w:val="000000" w:themeColor="text1"/>
      <w:sz w:val="26"/>
      <w:szCs w:val="26"/>
    </w:rPr>
  </w:style>
  <w:style w:type="character" w:customStyle="1" w:styleId="Heading2Char">
    <w:name w:val="Heading 2 Char"/>
    <w:basedOn w:val="DefaultParagraphFont"/>
    <w:link w:val="Heading2"/>
    <w:uiPriority w:val="9"/>
    <w:rsid w:val="001F7176"/>
    <w:rPr>
      <w:rFonts w:ascii="Calibri" w:eastAsia="Calibri" w:hAnsi="Calibri" w:cs="Calibri"/>
      <w:b/>
      <w:kern w:val="0"/>
      <w:sz w:val="36"/>
      <w:szCs w:val="36"/>
      <w14:ligatures w14:val="none"/>
    </w:rPr>
  </w:style>
  <w:style w:type="paragraph" w:customStyle="1" w:styleId="SDPCHeading">
    <w:name w:val="SDPC Heading"/>
    <w:basedOn w:val="Heading1"/>
    <w:autoRedefine/>
    <w:qFormat/>
    <w:rsid w:val="00937853"/>
    <w:pPr>
      <w:spacing w:after="200" w:line="276" w:lineRule="auto"/>
    </w:pPr>
    <w:rPr>
      <w:rFonts w:asciiTheme="majorHAnsi" w:hAnsiTheme="majorHAnsi"/>
    </w:rPr>
  </w:style>
  <w:style w:type="paragraph" w:customStyle="1" w:styleId="LCPSHeading">
    <w:name w:val="LCPS Heading"/>
    <w:basedOn w:val="Heading1"/>
    <w:autoRedefine/>
    <w:qFormat/>
    <w:rsid w:val="00937853"/>
    <w:rPr>
      <w:bCs w:val="0"/>
    </w:rPr>
  </w:style>
  <w:style w:type="paragraph" w:customStyle="1" w:styleId="SectionHeading">
    <w:name w:val="Section Heading"/>
    <w:basedOn w:val="Heading1"/>
    <w:autoRedefine/>
    <w:qFormat/>
    <w:rsid w:val="001E3917"/>
    <w:rPr>
      <w:bCs w:val="0"/>
      <w:sz w:val="44"/>
      <w:szCs w:val="40"/>
    </w:rPr>
  </w:style>
  <w:style w:type="character" w:styleId="Emphasis">
    <w:name w:val="Emphasis"/>
    <w:aliases w:val="Section Description"/>
    <w:basedOn w:val="DefaultParagraphFont"/>
    <w:uiPriority w:val="20"/>
    <w:qFormat/>
    <w:rsid w:val="001F799A"/>
    <w:rPr>
      <w:rFonts w:ascii="Baskerville" w:hAnsi="Baskerville"/>
      <w:b w:val="0"/>
      <w:i/>
      <w:iCs/>
      <w:sz w:val="28"/>
    </w:rPr>
  </w:style>
  <w:style w:type="paragraph" w:styleId="ListParagraph">
    <w:name w:val="List Paragraph"/>
    <w:basedOn w:val="Normal"/>
    <w:autoRedefine/>
    <w:uiPriority w:val="34"/>
    <w:qFormat/>
    <w:rsid w:val="00FF2D2A"/>
    <w:pPr>
      <w:ind w:left="720"/>
      <w:contextualSpacing/>
    </w:pPr>
  </w:style>
  <w:style w:type="paragraph" w:styleId="IntenseQuote">
    <w:name w:val="Intense Quote"/>
    <w:basedOn w:val="Normal"/>
    <w:next w:val="Normal"/>
    <w:link w:val="IntenseQuoteChar"/>
    <w:autoRedefine/>
    <w:uiPriority w:val="30"/>
    <w:qFormat/>
    <w:rsid w:val="001F799A"/>
    <w:pPr>
      <w:pBdr>
        <w:top w:val="single" w:sz="4" w:space="10" w:color="000000" w:themeColor="text1"/>
        <w:bottom w:val="single" w:sz="4" w:space="10" w:color="000000" w:themeColor="text1"/>
      </w:pBdr>
      <w:spacing w:before="120" w:after="120"/>
    </w:pPr>
    <w:rPr>
      <w:i/>
      <w:iCs/>
      <w:color w:val="000000" w:themeColor="text1"/>
    </w:rPr>
  </w:style>
  <w:style w:type="character" w:customStyle="1" w:styleId="IntenseQuoteChar">
    <w:name w:val="Intense Quote Char"/>
    <w:basedOn w:val="DefaultParagraphFont"/>
    <w:link w:val="IntenseQuote"/>
    <w:uiPriority w:val="30"/>
    <w:rsid w:val="001F799A"/>
    <w:rPr>
      <w:rFonts w:ascii="Times New Roman" w:hAnsi="Times New Roman"/>
      <w:i/>
      <w:iCs/>
      <w:color w:val="000000" w:themeColor="text1"/>
    </w:rPr>
  </w:style>
  <w:style w:type="character" w:styleId="BookTitle">
    <w:name w:val="Book Title"/>
    <w:basedOn w:val="DefaultParagraphFont"/>
    <w:uiPriority w:val="33"/>
    <w:qFormat/>
    <w:rsid w:val="00594CF2"/>
    <w:rPr>
      <w:b/>
      <w:bCs/>
      <w:i/>
      <w:iCs/>
      <w:spacing w:val="5"/>
    </w:rPr>
  </w:style>
  <w:style w:type="paragraph" w:styleId="Title">
    <w:name w:val="Title"/>
    <w:basedOn w:val="Normal"/>
    <w:next w:val="Normal"/>
    <w:link w:val="TitleChar"/>
    <w:autoRedefine/>
    <w:uiPriority w:val="10"/>
    <w:qFormat/>
    <w:rsid w:val="00B61758"/>
    <w:pPr>
      <w:contextualSpacing/>
    </w:pPr>
    <w:rPr>
      <w:rFonts w:ascii="BASKERVILLE SEMIBOLD" w:eastAsiaTheme="majorEastAsia" w:hAnsi="BASKERVILLE SEMIBOLD" w:cstheme="majorBidi"/>
      <w:b/>
      <w:spacing w:val="-10"/>
      <w:kern w:val="28"/>
      <w:sz w:val="56"/>
      <w:szCs w:val="56"/>
    </w:rPr>
  </w:style>
  <w:style w:type="character" w:customStyle="1" w:styleId="TitleChar">
    <w:name w:val="Title Char"/>
    <w:basedOn w:val="DefaultParagraphFont"/>
    <w:link w:val="Title"/>
    <w:uiPriority w:val="10"/>
    <w:rsid w:val="00B61758"/>
    <w:rPr>
      <w:rFonts w:ascii="BASKERVILLE SEMIBOLD" w:eastAsiaTheme="majorEastAsia" w:hAnsi="BASKERVILLE SEMIBOLD" w:cstheme="majorBidi"/>
      <w:b/>
      <w:spacing w:val="-10"/>
      <w:kern w:val="28"/>
      <w:sz w:val="56"/>
      <w:szCs w:val="56"/>
    </w:rPr>
  </w:style>
  <w:style w:type="numbering" w:customStyle="1" w:styleId="Bullets">
    <w:name w:val="Bullets"/>
    <w:basedOn w:val="NoList"/>
    <w:uiPriority w:val="99"/>
    <w:rsid w:val="00C973A8"/>
    <w:pPr>
      <w:numPr>
        <w:numId w:val="1"/>
      </w:numPr>
    </w:pPr>
  </w:style>
  <w:style w:type="paragraph" w:customStyle="1" w:styleId="BulletedList">
    <w:name w:val="Bulleted List"/>
    <w:basedOn w:val="ListBullet"/>
    <w:autoRedefine/>
    <w:qFormat/>
    <w:rsid w:val="000B1751"/>
    <w:pPr>
      <w:numPr>
        <w:numId w:val="4"/>
      </w:numPr>
    </w:pPr>
  </w:style>
  <w:style w:type="paragraph" w:styleId="ListBullet">
    <w:name w:val="List Bullet"/>
    <w:basedOn w:val="Normal"/>
    <w:autoRedefine/>
    <w:uiPriority w:val="99"/>
    <w:unhideWhenUsed/>
    <w:qFormat/>
    <w:rsid w:val="00FF2D2A"/>
    <w:pPr>
      <w:numPr>
        <w:numId w:val="10"/>
      </w:numPr>
      <w:spacing w:after="40" w:line="240" w:lineRule="auto"/>
      <w:contextualSpacing/>
    </w:pPr>
    <w:rPr>
      <w:rFonts w:eastAsia="Arial Narrow" w:cs="Arial"/>
      <w:szCs w:val="24"/>
    </w:rPr>
  </w:style>
  <w:style w:type="character" w:customStyle="1" w:styleId="Heading3Char">
    <w:name w:val="Heading 3 Char"/>
    <w:basedOn w:val="DefaultParagraphFont"/>
    <w:link w:val="Heading3"/>
    <w:uiPriority w:val="9"/>
    <w:rsid w:val="00FF2D2A"/>
    <w:rPr>
      <w:rFonts w:ascii="Arial" w:eastAsiaTheme="majorEastAsia" w:hAnsi="Arial" w:cstheme="majorBidi"/>
      <w:b/>
      <w:color w:val="2F5496" w:themeColor="accent1" w:themeShade="BF"/>
    </w:rPr>
  </w:style>
  <w:style w:type="paragraph" w:styleId="ListNumber2">
    <w:name w:val="List Number 2"/>
    <w:basedOn w:val="Normal"/>
    <w:autoRedefine/>
    <w:uiPriority w:val="99"/>
    <w:unhideWhenUsed/>
    <w:qFormat/>
    <w:rsid w:val="000B1751"/>
    <w:pPr>
      <w:numPr>
        <w:numId w:val="9"/>
      </w:numPr>
      <w:spacing w:before="120" w:after="80"/>
      <w:contextualSpacing/>
    </w:pPr>
  </w:style>
  <w:style w:type="character" w:customStyle="1" w:styleId="Heading4Char">
    <w:name w:val="Heading 4 Char"/>
    <w:basedOn w:val="DefaultParagraphFont"/>
    <w:link w:val="Heading4"/>
    <w:uiPriority w:val="9"/>
    <w:semiHidden/>
    <w:rsid w:val="000B1751"/>
    <w:rPr>
      <w:rFonts w:ascii="Arial Narrow" w:eastAsia="Calibri" w:hAnsi="Arial Narrow" w:cs="Calibri"/>
      <w:b/>
      <w:kern w:val="0"/>
      <w14:ligatures w14:val="none"/>
    </w:rPr>
  </w:style>
  <w:style w:type="paragraph" w:customStyle="1" w:styleId="Letterhead">
    <w:name w:val="Letterhead"/>
    <w:basedOn w:val="Heading1"/>
    <w:autoRedefine/>
    <w:qFormat/>
    <w:rsid w:val="000B1751"/>
    <w:rPr>
      <w:rFonts w:ascii="Times New Roman" w:hAnsi="Times New Roman"/>
      <w:noProof/>
      <w:kern w:val="0"/>
      <w14:ligatures w14:val="none"/>
    </w:rPr>
  </w:style>
  <w:style w:type="paragraph" w:styleId="TOC1">
    <w:name w:val="toc 1"/>
    <w:basedOn w:val="Normal"/>
    <w:next w:val="Normal"/>
    <w:autoRedefine/>
    <w:uiPriority w:val="39"/>
    <w:unhideWhenUsed/>
    <w:qFormat/>
    <w:rsid w:val="000B1751"/>
    <w:pPr>
      <w:spacing w:before="80" w:after="80"/>
    </w:pPr>
    <w:rPr>
      <w:rFonts w:ascii="Arial Narrow" w:hAnsi="Arial Narrow" w:cstheme="minorHAnsi"/>
      <w:b/>
      <w:bCs/>
      <w:caps/>
      <w:szCs w:val="20"/>
    </w:rPr>
  </w:style>
  <w:style w:type="paragraph" w:styleId="TOC2">
    <w:name w:val="toc 2"/>
    <w:basedOn w:val="Normal"/>
    <w:next w:val="Normal"/>
    <w:autoRedefine/>
    <w:uiPriority w:val="39"/>
    <w:unhideWhenUsed/>
    <w:qFormat/>
    <w:rsid w:val="000B1751"/>
    <w:pPr>
      <w:spacing w:before="40" w:after="40" w:line="240" w:lineRule="auto"/>
      <w:ind w:left="245"/>
    </w:pPr>
    <w:rPr>
      <w:rFonts w:ascii="Arial Narrow" w:hAnsi="Arial Narrow" w:cstheme="minorHAnsi"/>
      <w:smallCaps/>
      <w:szCs w:val="20"/>
    </w:rPr>
  </w:style>
  <w:style w:type="paragraph" w:styleId="TOC3">
    <w:name w:val="toc 3"/>
    <w:basedOn w:val="Normal"/>
    <w:next w:val="Normal"/>
    <w:autoRedefine/>
    <w:uiPriority w:val="39"/>
    <w:unhideWhenUsed/>
    <w:qFormat/>
    <w:rsid w:val="000B1751"/>
    <w:pPr>
      <w:ind w:left="576"/>
    </w:pPr>
    <w:rPr>
      <w:rFonts w:ascii="Arial Narrow" w:hAnsi="Arial Narrow" w:cstheme="minorHAnsi"/>
      <w:iCs/>
      <w:szCs w:val="20"/>
    </w:rPr>
  </w:style>
  <w:style w:type="paragraph" w:customStyle="1" w:styleId="Boxes">
    <w:name w:val="Boxes"/>
    <w:basedOn w:val="Normal"/>
    <w:autoRedefine/>
    <w:qFormat/>
    <w:rsid w:val="00FF2D2A"/>
    <w:pPr>
      <w:spacing w:after="0" w:line="240" w:lineRule="auto"/>
      <w:textDirection w:val="btLr"/>
    </w:pPr>
    <w:rPr>
      <w:rFonts w:ascii="Helvetica Neue" w:eastAsia="Helvetica Neue" w:hAnsi="Helvetica Neue" w:cs="Helvetica Neue"/>
      <w:color w:val="404040"/>
      <w:sz w:val="18"/>
      <w:szCs w:val="18"/>
    </w:rPr>
  </w:style>
  <w:style w:type="paragraph" w:customStyle="1" w:styleId="BoxHeader">
    <w:name w:val="Box Header"/>
    <w:basedOn w:val="Boxes"/>
    <w:autoRedefine/>
    <w:qFormat/>
    <w:rsid w:val="00FF2D2A"/>
    <w:rPr>
      <w:b/>
      <w:sz w:val="20"/>
    </w:rPr>
  </w:style>
  <w:style w:type="character" w:styleId="Hyperlink">
    <w:name w:val="Hyperlink"/>
    <w:basedOn w:val="Heading3Char"/>
    <w:uiPriority w:val="99"/>
    <w:unhideWhenUsed/>
    <w:qFormat/>
    <w:rsid w:val="00FF2D2A"/>
    <w:rPr>
      <w:rFonts w:ascii="Arial" w:eastAsia="Helvetica Neue" w:hAnsi="Arial" w:cstheme="majorBidi"/>
      <w:b/>
      <w:color w:val="2F5496" w:themeColor="accent1" w:themeShade="BF"/>
      <w:sz w:val="24"/>
      <w:u w:val="single"/>
    </w:rPr>
  </w:style>
  <w:style w:type="paragraph" w:styleId="ListBullet2">
    <w:name w:val="List Bullet 2"/>
    <w:basedOn w:val="Normal"/>
    <w:autoRedefine/>
    <w:uiPriority w:val="99"/>
    <w:unhideWhenUsed/>
    <w:qFormat/>
    <w:rsid w:val="001E3BDB"/>
    <w:pPr>
      <w:numPr>
        <w:numId w:val="12"/>
      </w:numPr>
      <w:spacing w:after="0" w:line="240" w:lineRule="auto"/>
      <w:contextualSpacing/>
    </w:pPr>
    <w:rPr>
      <w:rFonts w:asciiTheme="minorHAnsi" w:eastAsiaTheme="minorHAnsi" w:hAnsiTheme="minorHAnsi" w:cstheme="minorBidi"/>
      <w:szCs w:val="24"/>
    </w:rPr>
  </w:style>
  <w:style w:type="character" w:styleId="UnresolvedMention">
    <w:name w:val="Unresolved Mention"/>
    <w:basedOn w:val="DefaultParagraphFont"/>
    <w:uiPriority w:val="99"/>
    <w:semiHidden/>
    <w:unhideWhenUsed/>
    <w:rsid w:val="00251362"/>
    <w:rPr>
      <w:color w:val="605E5C"/>
      <w:shd w:val="clear" w:color="auto" w:fill="E1DFDD"/>
    </w:rPr>
  </w:style>
  <w:style w:type="table" w:styleId="TableGrid">
    <w:name w:val="Table Grid"/>
    <w:basedOn w:val="TableNormal"/>
    <w:uiPriority w:val="39"/>
    <w:rsid w:val="002513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70D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0D80"/>
    <w:rPr>
      <w:rFonts w:ascii="Arial" w:eastAsiaTheme="minorEastAsia" w:hAnsi="Arial" w:cs="Times New Roman"/>
      <w:kern w:val="0"/>
      <w:szCs w:val="22"/>
      <w14:ligatures w14:val="none"/>
    </w:rPr>
  </w:style>
  <w:style w:type="paragraph" w:styleId="Footer">
    <w:name w:val="footer"/>
    <w:basedOn w:val="Normal"/>
    <w:link w:val="FooterChar"/>
    <w:uiPriority w:val="99"/>
    <w:unhideWhenUsed/>
    <w:rsid w:val="00170D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0D80"/>
    <w:rPr>
      <w:rFonts w:ascii="Arial" w:eastAsiaTheme="minorEastAsia" w:hAnsi="Arial" w:cs="Times New Roman"/>
      <w:kern w:val="0"/>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00990124495041A58B1EA7EE4B4C4D" ma:contentTypeVersion="8" ma:contentTypeDescription="Create a new document." ma:contentTypeScope="" ma:versionID="0b9cdecf54323b7d7cb1bc65c55e77fc">
  <xsd:schema xmlns:xsd="http://www.w3.org/2001/XMLSchema" xmlns:xs="http://www.w3.org/2001/XMLSchema" xmlns:p="http://schemas.microsoft.com/office/2006/metadata/properties" xmlns:ns2="1ef090b7-1718-4358-94c7-f197a560f3c7" xmlns:ns3="2f2bf79d-f94b-481f-b0fb-a36c5ae4a054" targetNamespace="http://schemas.microsoft.com/office/2006/metadata/properties" ma:root="true" ma:fieldsID="a0f6bcf3b6baeadd98277c4b192beb9a" ns2:_="" ns3:_="">
    <xsd:import namespace="1ef090b7-1718-4358-94c7-f197a560f3c7"/>
    <xsd:import namespace="2f2bf79d-f94b-481f-b0fb-a36c5ae4a05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f090b7-1718-4358-94c7-f197a560f3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920e099-540f-4e49-b54d-0e500676cc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bf79d-f94b-481f-b0fb-a36c5ae4a05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e90210b-595e-4e08-96c1-c5d82ee6aafd}" ma:internalName="TaxCatchAll" ma:showField="CatchAllData" ma:web="2f2bf79d-f94b-481f-b0fb-a36c5ae4a0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ef090b7-1718-4358-94c7-f197a560f3c7">
      <Terms xmlns="http://schemas.microsoft.com/office/infopath/2007/PartnerControls"/>
    </lcf76f155ced4ddcb4097134ff3c332f>
    <TaxCatchAll xmlns="2f2bf79d-f94b-481f-b0fb-a36c5ae4a054" xsi:nil="true"/>
  </documentManagement>
</p:properties>
</file>

<file path=customXml/itemProps1.xml><?xml version="1.0" encoding="utf-8"?>
<ds:datastoreItem xmlns:ds="http://schemas.openxmlformats.org/officeDocument/2006/customXml" ds:itemID="{04ECE979-653D-461E-972C-886840F9184C}"/>
</file>

<file path=customXml/itemProps2.xml><?xml version="1.0" encoding="utf-8"?>
<ds:datastoreItem xmlns:ds="http://schemas.openxmlformats.org/officeDocument/2006/customXml" ds:itemID="{78F705A0-A73A-4141-B35D-F43332203472}"/>
</file>

<file path=customXml/itemProps3.xml><?xml version="1.0" encoding="utf-8"?>
<ds:datastoreItem xmlns:ds="http://schemas.openxmlformats.org/officeDocument/2006/customXml" ds:itemID="{93F89361-7676-467F-8DDE-B2F80528D0F5}"/>
</file>

<file path=docProps/app.xml><?xml version="1.0" encoding="utf-8"?>
<Properties xmlns="http://schemas.openxmlformats.org/officeDocument/2006/extended-properties" xmlns:vt="http://schemas.openxmlformats.org/officeDocument/2006/docPropsVTypes">
  <Template>Normal.dotm</Template>
  <TotalTime>6</TotalTime>
  <Pages>1</Pages>
  <Words>224</Words>
  <Characters>1282</Characters>
  <Application>Microsoft Office Word</Application>
  <DocSecurity>0</DocSecurity>
  <Lines>10</Lines>
  <Paragraphs>3</Paragraphs>
  <ScaleCrop>false</ScaleCrop>
  <Company/>
  <LinksUpToDate>false</LinksUpToDate>
  <CharactersWithSpaces>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Ruby Moseley</dc:creator>
  <cp:keywords/>
  <dc:description/>
  <cp:lastModifiedBy>Ruby Moseley</cp:lastModifiedBy>
  <cp:revision>6</cp:revision>
  <dcterms:created xsi:type="dcterms:W3CDTF">2023-10-24T17:19:00Z</dcterms:created>
  <dcterms:modified xsi:type="dcterms:W3CDTF">2023-11-29T17:17:00Z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0x0101001400990124495041A58B1EA7EE4B4C4D</vt:lpwstr>
  </property>
</Properties>
</file>