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395F" w14:textId="77777777" w:rsidR="00182F0D" w:rsidRDefault="00182F0D"/>
    <w:tbl>
      <w:tblPr>
        <w:tblStyle w:val="TableGrid"/>
        <w:tblW w:w="9931" w:type="dxa"/>
        <w:tblLook w:val="04A0" w:firstRow="1" w:lastRow="0" w:firstColumn="1" w:lastColumn="0" w:noHBand="0" w:noVBand="1"/>
      </w:tblPr>
      <w:tblGrid>
        <w:gridCol w:w="2155"/>
        <w:gridCol w:w="3888"/>
        <w:gridCol w:w="3888"/>
      </w:tblGrid>
      <w:tr w:rsidR="00174174" w:rsidRPr="004D1B49" w14:paraId="7423F8F4" w14:textId="77777777" w:rsidTr="00421279">
        <w:tc>
          <w:tcPr>
            <w:tcW w:w="2155" w:type="dxa"/>
            <w:shd w:val="clear" w:color="auto" w:fill="1E2F47"/>
            <w:vAlign w:val="center"/>
          </w:tcPr>
          <w:p w14:paraId="13AC35C3" w14:textId="77777777" w:rsidR="00174174" w:rsidRPr="004D1B49" w:rsidRDefault="00174174" w:rsidP="00421279">
            <w:pPr>
              <w:jc w:val="center"/>
              <w:rPr>
                <w:b/>
                <w:bCs/>
              </w:rPr>
            </w:pPr>
            <w:r w:rsidRPr="004D1B49">
              <w:rPr>
                <w:b/>
                <w:bCs/>
              </w:rPr>
              <w:t>Support Category</w:t>
            </w:r>
          </w:p>
        </w:tc>
        <w:tc>
          <w:tcPr>
            <w:tcW w:w="3888" w:type="dxa"/>
            <w:shd w:val="clear" w:color="auto" w:fill="1E2F47"/>
            <w:vAlign w:val="center"/>
          </w:tcPr>
          <w:p w14:paraId="50972A3E" w14:textId="77777777" w:rsidR="00174174" w:rsidRPr="004D1B49" w:rsidRDefault="00174174" w:rsidP="00421279">
            <w:pPr>
              <w:jc w:val="center"/>
              <w:rPr>
                <w:b/>
                <w:bCs/>
              </w:rPr>
            </w:pPr>
            <w:r w:rsidRPr="004D1B49">
              <w:rPr>
                <w:b/>
                <w:bCs/>
              </w:rPr>
              <w:t>Definition</w:t>
            </w:r>
          </w:p>
        </w:tc>
        <w:tc>
          <w:tcPr>
            <w:tcW w:w="3888" w:type="dxa"/>
            <w:shd w:val="clear" w:color="auto" w:fill="1E2F47"/>
            <w:vAlign w:val="center"/>
          </w:tcPr>
          <w:p w14:paraId="523C7366" w14:textId="77777777" w:rsidR="00174174" w:rsidRPr="004D1B49" w:rsidRDefault="00174174" w:rsidP="00421279">
            <w:pPr>
              <w:jc w:val="center"/>
              <w:rPr>
                <w:b/>
                <w:bCs/>
              </w:rPr>
            </w:pPr>
            <w:r w:rsidRPr="004D1B49">
              <w:rPr>
                <w:b/>
                <w:bCs/>
              </w:rPr>
              <w:t>Examples of Need</w:t>
            </w:r>
          </w:p>
        </w:tc>
      </w:tr>
      <w:tr w:rsidR="00174174" w14:paraId="3C9C8268" w14:textId="77777777" w:rsidTr="00421279">
        <w:tc>
          <w:tcPr>
            <w:tcW w:w="2155" w:type="dxa"/>
            <w:vAlign w:val="center"/>
          </w:tcPr>
          <w:p w14:paraId="23128DDF" w14:textId="77777777" w:rsidR="00174174" w:rsidRPr="004D1B49" w:rsidRDefault="00174174" w:rsidP="00421279">
            <w:pPr>
              <w:jc w:val="center"/>
              <w:rPr>
                <w:sz w:val="48"/>
                <w:szCs w:val="38"/>
              </w:rPr>
            </w:pPr>
            <w:r w:rsidRPr="004D1B49">
              <w:rPr>
                <w:sz w:val="48"/>
                <w:szCs w:val="38"/>
              </w:rPr>
              <w:t>T</w:t>
            </w:r>
          </w:p>
          <w:p w14:paraId="19D966C7" w14:textId="77777777" w:rsidR="00174174" w:rsidRDefault="00174174" w:rsidP="00421279">
            <w:pPr>
              <w:jc w:val="center"/>
            </w:pPr>
            <w:r>
              <w:t>Transportation &amp; Mobility</w:t>
            </w:r>
          </w:p>
        </w:tc>
        <w:tc>
          <w:tcPr>
            <w:tcW w:w="3888" w:type="dxa"/>
          </w:tcPr>
          <w:p w14:paraId="44488DB3" w14:textId="77777777" w:rsidR="00174174" w:rsidRDefault="00174174" w:rsidP="00421279">
            <w:r>
              <w:t>Accommodations necessary to support an individual’s movement to safety, alternative location, or protective position during and after a crisis</w:t>
            </w:r>
          </w:p>
        </w:tc>
        <w:tc>
          <w:tcPr>
            <w:tcW w:w="3888" w:type="dxa"/>
          </w:tcPr>
          <w:p w14:paraId="2E70E8B7" w14:textId="77777777" w:rsidR="00174174" w:rsidRDefault="00174174" w:rsidP="00421279">
            <w:r>
              <w:t>Individuals in wheelchairs (manual and electric), with crutches, requiring lift and/or stair equipment, medically fragile individuals, pregnant individuals, etc.</w:t>
            </w:r>
          </w:p>
        </w:tc>
      </w:tr>
      <w:tr w:rsidR="00174174" w14:paraId="090860CC" w14:textId="77777777" w:rsidTr="00421279">
        <w:tc>
          <w:tcPr>
            <w:tcW w:w="2155" w:type="dxa"/>
            <w:vAlign w:val="center"/>
          </w:tcPr>
          <w:p w14:paraId="5B43A606" w14:textId="77777777" w:rsidR="00174174" w:rsidRPr="004D1B49" w:rsidRDefault="00174174" w:rsidP="00421279">
            <w:pPr>
              <w:jc w:val="center"/>
              <w:rPr>
                <w:sz w:val="48"/>
                <w:szCs w:val="48"/>
              </w:rPr>
            </w:pPr>
            <w:r w:rsidRPr="004D1B49">
              <w:rPr>
                <w:sz w:val="48"/>
                <w:szCs w:val="48"/>
              </w:rPr>
              <w:t>E</w:t>
            </w:r>
          </w:p>
          <w:p w14:paraId="4D4510A4" w14:textId="77777777" w:rsidR="00174174" w:rsidRDefault="00174174" w:rsidP="00421279">
            <w:pPr>
              <w:jc w:val="center"/>
            </w:pPr>
            <w:r>
              <w:t>Emotional, Mental &amp; Behavioral Health</w:t>
            </w:r>
          </w:p>
        </w:tc>
        <w:tc>
          <w:tcPr>
            <w:tcW w:w="3888" w:type="dxa"/>
          </w:tcPr>
          <w:p w14:paraId="6D9C42F6" w14:textId="77777777" w:rsidR="00174174" w:rsidRDefault="00174174" w:rsidP="00421279">
            <w:r>
              <w:t>Accommodations, personnel, procedures, services, or specialized preparation required to ensure an individual’s emotional well-being and/or behavioral health during a crisis</w:t>
            </w:r>
          </w:p>
        </w:tc>
        <w:tc>
          <w:tcPr>
            <w:tcW w:w="3888" w:type="dxa"/>
          </w:tcPr>
          <w:p w14:paraId="1EC1B9FA" w14:textId="77777777" w:rsidR="00174174" w:rsidRDefault="00174174" w:rsidP="00421279">
            <w:r>
              <w:t>Individuals with ADHD, sensory disorders, anxiety, trauma history, PTSD, cognitive or intellectual impairment, etc.</w:t>
            </w:r>
          </w:p>
        </w:tc>
      </w:tr>
      <w:tr w:rsidR="00174174" w14:paraId="19BD3892" w14:textId="77777777" w:rsidTr="00421279">
        <w:tc>
          <w:tcPr>
            <w:tcW w:w="2155" w:type="dxa"/>
            <w:vAlign w:val="center"/>
          </w:tcPr>
          <w:p w14:paraId="217635B2" w14:textId="77777777" w:rsidR="00174174" w:rsidRPr="004D1B49" w:rsidRDefault="00174174" w:rsidP="00421279">
            <w:pPr>
              <w:jc w:val="center"/>
              <w:rPr>
                <w:sz w:val="48"/>
                <w:szCs w:val="48"/>
              </w:rPr>
            </w:pPr>
            <w:r w:rsidRPr="004D1B49">
              <w:rPr>
                <w:sz w:val="48"/>
                <w:szCs w:val="48"/>
              </w:rPr>
              <w:t>A</w:t>
            </w:r>
          </w:p>
          <w:p w14:paraId="4EF6C15C" w14:textId="77777777" w:rsidR="00174174" w:rsidRDefault="00174174" w:rsidP="00421279">
            <w:pPr>
              <w:jc w:val="center"/>
            </w:pPr>
            <w:r>
              <w:t>Auxiliary Communication</w:t>
            </w:r>
          </w:p>
        </w:tc>
        <w:tc>
          <w:tcPr>
            <w:tcW w:w="3888" w:type="dxa"/>
          </w:tcPr>
          <w:p w14:paraId="6B64BC23" w14:textId="77777777" w:rsidR="00174174" w:rsidRDefault="00174174" w:rsidP="00421279">
            <w:r>
              <w:t>Accommodations, personnel, equipment, or specialized training required to assist an individual’s ability to receive, understand, and relay information during a crisis</w:t>
            </w:r>
          </w:p>
        </w:tc>
        <w:tc>
          <w:tcPr>
            <w:tcW w:w="3888" w:type="dxa"/>
          </w:tcPr>
          <w:p w14:paraId="12928321" w14:textId="77777777" w:rsidR="00174174" w:rsidRDefault="00174174" w:rsidP="00421279">
            <w:r>
              <w:t>Individuals with speech or cognitive disabilities and impairments, visual impairments/blindness, deaf or hard of hearing, etc., as well as English Language Learners and individuals who speak a language other than English</w:t>
            </w:r>
          </w:p>
        </w:tc>
      </w:tr>
      <w:tr w:rsidR="00174174" w14:paraId="4510BC1D" w14:textId="77777777" w:rsidTr="00421279">
        <w:tc>
          <w:tcPr>
            <w:tcW w:w="2155" w:type="dxa"/>
            <w:vAlign w:val="center"/>
          </w:tcPr>
          <w:p w14:paraId="0B2FF9A1" w14:textId="77777777" w:rsidR="00174174" w:rsidRPr="004D1B49" w:rsidRDefault="00174174" w:rsidP="00421279">
            <w:pPr>
              <w:jc w:val="center"/>
              <w:rPr>
                <w:sz w:val="48"/>
                <w:szCs w:val="48"/>
              </w:rPr>
            </w:pPr>
            <w:r w:rsidRPr="004D1B49">
              <w:rPr>
                <w:sz w:val="48"/>
                <w:szCs w:val="48"/>
              </w:rPr>
              <w:t>M</w:t>
            </w:r>
          </w:p>
          <w:p w14:paraId="4A885EFE" w14:textId="77777777" w:rsidR="00174174" w:rsidRDefault="00174174" w:rsidP="00421279">
            <w:pPr>
              <w:jc w:val="center"/>
            </w:pPr>
            <w:r>
              <w:t>Medical</w:t>
            </w:r>
          </w:p>
        </w:tc>
        <w:tc>
          <w:tcPr>
            <w:tcW w:w="3888" w:type="dxa"/>
          </w:tcPr>
          <w:p w14:paraId="6CB11761" w14:textId="77777777" w:rsidR="00174174" w:rsidRDefault="00174174" w:rsidP="00421279">
            <w:r>
              <w:t>Medicine, medical care, specialized training, equipment, or medical protocols required to ensure an individual’s safety during a crisis</w:t>
            </w:r>
          </w:p>
        </w:tc>
        <w:tc>
          <w:tcPr>
            <w:tcW w:w="3888" w:type="dxa"/>
          </w:tcPr>
          <w:p w14:paraId="60DACDA9" w14:textId="77777777" w:rsidR="00174174" w:rsidRDefault="00174174" w:rsidP="00421279">
            <w:r>
              <w:t>Individuals with medical conditions such as asthma, allergies, diabetes, medical fragility, seizure disorders, traumatic brain injury, physical injury, or impairment, etc.</w:t>
            </w:r>
          </w:p>
        </w:tc>
      </w:tr>
      <w:tr w:rsidR="00174174" w14:paraId="55463B3B" w14:textId="77777777" w:rsidTr="00421279">
        <w:tc>
          <w:tcPr>
            <w:tcW w:w="2155" w:type="dxa"/>
            <w:vAlign w:val="center"/>
          </w:tcPr>
          <w:p w14:paraId="2E0D77B5" w14:textId="77777777" w:rsidR="00174174" w:rsidRPr="004D1B49" w:rsidRDefault="00174174" w:rsidP="00421279">
            <w:pPr>
              <w:jc w:val="center"/>
              <w:rPr>
                <w:sz w:val="48"/>
                <w:szCs w:val="48"/>
              </w:rPr>
            </w:pPr>
            <w:r w:rsidRPr="004D1B49">
              <w:rPr>
                <w:sz w:val="48"/>
                <w:szCs w:val="48"/>
              </w:rPr>
              <w:t>S</w:t>
            </w:r>
          </w:p>
          <w:p w14:paraId="55B6260E" w14:textId="77777777" w:rsidR="00174174" w:rsidRDefault="00174174" w:rsidP="00421279">
            <w:pPr>
              <w:jc w:val="center"/>
            </w:pPr>
            <w:r>
              <w:t>Security &amp; Supervision</w:t>
            </w:r>
          </w:p>
        </w:tc>
        <w:tc>
          <w:tcPr>
            <w:tcW w:w="3888" w:type="dxa"/>
          </w:tcPr>
          <w:p w14:paraId="47DED5FB" w14:textId="77777777" w:rsidR="00174174" w:rsidRDefault="00174174" w:rsidP="00421279">
            <w:r>
              <w:t>Additional equipment, training, protocols, and personnel required to maintain accountability and security of an individual during and after a crisis</w:t>
            </w:r>
          </w:p>
        </w:tc>
        <w:tc>
          <w:tcPr>
            <w:tcW w:w="3888" w:type="dxa"/>
          </w:tcPr>
          <w:p w14:paraId="4AC3D16E" w14:textId="77777777" w:rsidR="00174174" w:rsidRDefault="00174174" w:rsidP="00421279">
            <w:r>
              <w:t>Individuals for whom traditional lockdown presents a physical, sensory, or emotional challenge, those who cannot remain quiet or stationary, individuals who are known to elope (run away) or initiate self-evacuation in a crisis, etc.</w:t>
            </w:r>
          </w:p>
        </w:tc>
      </w:tr>
    </w:tbl>
    <w:p w14:paraId="548BD661" w14:textId="77777777" w:rsidR="00174174" w:rsidRDefault="00174174"/>
    <w:sectPr w:rsidR="00174174" w:rsidSect="00017500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5072" w14:textId="77777777" w:rsidR="005409AF" w:rsidRDefault="005409AF" w:rsidP="00017500">
      <w:pPr>
        <w:spacing w:line="240" w:lineRule="auto"/>
      </w:pPr>
      <w:r>
        <w:separator/>
      </w:r>
    </w:p>
  </w:endnote>
  <w:endnote w:type="continuationSeparator" w:id="0">
    <w:p w14:paraId="01095460" w14:textId="77777777" w:rsidR="005409AF" w:rsidRDefault="005409AF" w:rsidP="00017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A7DD" w14:textId="77777777" w:rsidR="005409AF" w:rsidRDefault="005409AF" w:rsidP="00017500">
      <w:pPr>
        <w:spacing w:line="240" w:lineRule="auto"/>
      </w:pPr>
      <w:r>
        <w:separator/>
      </w:r>
    </w:p>
  </w:footnote>
  <w:footnote w:type="continuationSeparator" w:id="0">
    <w:p w14:paraId="14B44F96" w14:textId="77777777" w:rsidR="005409AF" w:rsidRDefault="005409AF" w:rsidP="000175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AC4" w14:textId="77777777" w:rsidR="00017500" w:rsidRDefault="00017500" w:rsidP="00017500">
    <w:pPr>
      <w:spacing w:line="240" w:lineRule="auto"/>
      <w:rPr>
        <w:b/>
        <w:bCs/>
        <w:color w:val="FFFFFF" w:themeColor="background1"/>
        <w:szCs w:val="26"/>
      </w:rPr>
    </w:pPr>
    <w:r w:rsidRPr="00C95BBD">
      <w:rPr>
        <w:noProof/>
        <w:color w:val="FFFFFF" w:themeColor="background1"/>
        <w:szCs w:val="26"/>
      </w:rPr>
      <w:drawing>
        <wp:anchor distT="0" distB="0" distL="114300" distR="114300" simplePos="0" relativeHeight="251660288" behindDoc="0" locked="0" layoutInCell="1" allowOverlap="1" wp14:anchorId="0C820359" wp14:editId="72C7230E">
          <wp:simplePos x="0" y="0"/>
          <wp:positionH relativeFrom="column">
            <wp:posOffset>-798195</wp:posOffset>
          </wp:positionH>
          <wp:positionV relativeFrom="paragraph">
            <wp:posOffset>-155388</wp:posOffset>
          </wp:positionV>
          <wp:extent cx="614680" cy="614680"/>
          <wp:effectExtent l="0" t="0" r="0" b="0"/>
          <wp:wrapNone/>
          <wp:docPr id="65630743" name="Picture 65630743" descr="Chris Scuderi - Public Safety and Law Enforcement Training Coordinator - Virginia  DCJ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 Scuderi - Public Safety and Law Enforcement Training Coordinator - Virginia  DCJ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FFF"/>
                      </a:clrFrom>
                      <a:clrTo>
                        <a:srgbClr val="FCFFFF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5BBD">
      <w:rPr>
        <w:noProof/>
        <w:color w:val="FFFFFF" w:themeColor="background1"/>
        <w:szCs w:val="26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98B2FD" wp14:editId="69178B1E">
              <wp:simplePos x="0" y="0"/>
              <wp:positionH relativeFrom="column">
                <wp:posOffset>-927847</wp:posOffset>
              </wp:positionH>
              <wp:positionV relativeFrom="page">
                <wp:posOffset>13447</wp:posOffset>
              </wp:positionV>
              <wp:extent cx="7772400" cy="874059"/>
              <wp:effectExtent l="0" t="0" r="0" b="2540"/>
              <wp:wrapNone/>
              <wp:docPr id="42" name="Rectangl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7405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CFB46F" id="Rectangle 42" o:spid="_x0000_s1026" alt="&quot;&quot;" style="position:absolute;margin-left:-73.05pt;margin-top:1.05pt;width:612pt;height:68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" fillcolor="#1f4d78 [1608]" stroked="f" strokeweight="1pt">
              <w10:wrap anchory="page"/>
            </v:rect>
          </w:pict>
        </mc:Fallback>
      </mc:AlternateContent>
    </w:r>
    <w:r w:rsidRPr="00C95BBD">
      <w:rPr>
        <w:b/>
        <w:bCs/>
        <w:color w:val="FFFFFF" w:themeColor="background1"/>
        <w:szCs w:val="26"/>
      </w:rPr>
      <w:t>School Crisis, Emergency Management, and Medical Emergency Response Plan</w:t>
    </w:r>
  </w:p>
  <w:p w14:paraId="30A9C59F" w14:textId="6C5DFE49" w:rsidR="00017500" w:rsidRPr="00017500" w:rsidRDefault="00017500" w:rsidP="00017500">
    <w:pPr>
      <w:spacing w:line="240" w:lineRule="auto"/>
      <w:rPr>
        <w:b/>
        <w:bCs/>
        <w:color w:val="FFFFFF" w:themeColor="background1"/>
        <w:szCs w:val="26"/>
      </w:rPr>
    </w:pPr>
    <w:r>
      <w:rPr>
        <w:b/>
        <w:bCs/>
        <w:color w:val="FFFFFF" w:themeColor="background1"/>
        <w:szCs w:val="26"/>
      </w:rPr>
      <w:t>TEAMS Planning Considerations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06AC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E304D0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572D0C8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4C4F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6B5BC5"/>
    <w:multiLevelType w:val="multilevel"/>
    <w:tmpl w:val="ECD416D4"/>
    <w:styleLink w:val="Bullets"/>
    <w:lvl w:ilvl="0">
      <w:start w:val="1"/>
      <w:numFmt w:val="bullet"/>
      <w:lvlText w:val="●"/>
      <w:lvlJc w:val="left"/>
      <w:pPr>
        <w:ind w:left="720" w:hanging="360"/>
      </w:pPr>
      <w:rPr>
        <w:rFonts w:ascii="Arial Narrow" w:eastAsia="Noto Sans Symbols" w:hAnsi="Arial Narrow" w:cs="Noto Sans Symbols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7A6041"/>
    <w:multiLevelType w:val="multilevel"/>
    <w:tmpl w:val="05C81D7E"/>
    <w:lvl w:ilvl="0">
      <w:start w:val="1"/>
      <w:numFmt w:val="decimal"/>
      <w:pStyle w:val="ListNumber2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462843905">
    <w:abstractNumId w:val="4"/>
  </w:num>
  <w:num w:numId="2" w16cid:durableId="2123065799">
    <w:abstractNumId w:val="3"/>
  </w:num>
  <w:num w:numId="3" w16cid:durableId="920868400">
    <w:abstractNumId w:val="2"/>
  </w:num>
  <w:num w:numId="4" w16cid:durableId="946081384">
    <w:abstractNumId w:val="2"/>
  </w:num>
  <w:num w:numId="5" w16cid:durableId="179205883">
    <w:abstractNumId w:val="0"/>
  </w:num>
  <w:num w:numId="6" w16cid:durableId="40717507">
    <w:abstractNumId w:val="0"/>
  </w:num>
  <w:num w:numId="7" w16cid:durableId="1928341752">
    <w:abstractNumId w:val="5"/>
  </w:num>
  <w:num w:numId="8" w16cid:durableId="1105031358">
    <w:abstractNumId w:val="5"/>
  </w:num>
  <w:num w:numId="9" w16cid:durableId="464590494">
    <w:abstractNumId w:val="5"/>
  </w:num>
  <w:num w:numId="10" w16cid:durableId="2052530898">
    <w:abstractNumId w:val="3"/>
  </w:num>
  <w:num w:numId="11" w16cid:durableId="1951276290">
    <w:abstractNumId w:val="1"/>
  </w:num>
  <w:num w:numId="12" w16cid:durableId="186589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BB"/>
    <w:rsid w:val="00017500"/>
    <w:rsid w:val="000B1751"/>
    <w:rsid w:val="00153362"/>
    <w:rsid w:val="00174174"/>
    <w:rsid w:val="00182F0D"/>
    <w:rsid w:val="001E3917"/>
    <w:rsid w:val="001E3BDB"/>
    <w:rsid w:val="001F7176"/>
    <w:rsid w:val="001F799A"/>
    <w:rsid w:val="004157F6"/>
    <w:rsid w:val="004D0DA6"/>
    <w:rsid w:val="005409AF"/>
    <w:rsid w:val="00565FB5"/>
    <w:rsid w:val="00594CF2"/>
    <w:rsid w:val="006D6EBB"/>
    <w:rsid w:val="00937853"/>
    <w:rsid w:val="00993251"/>
    <w:rsid w:val="00AA2521"/>
    <w:rsid w:val="00B61758"/>
    <w:rsid w:val="00C973A8"/>
    <w:rsid w:val="00CC4D93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8EC2B6"/>
  <w15:chartTrackingRefBased/>
  <w15:docId w15:val="{95AEA1A2-4332-5440-9A00-361A1CE5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EBB"/>
    <w:pPr>
      <w:spacing w:line="276" w:lineRule="auto"/>
    </w:pPr>
    <w:rPr>
      <w:rFonts w:ascii="Arial" w:hAnsi="Arial" w:cs="Times New Roman (Body CS)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2D2A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olor w:val="2F5496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7176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2D2A"/>
    <w:pPr>
      <w:keepNext/>
      <w:keepLines/>
      <w:spacing w:line="240" w:lineRule="auto"/>
      <w:outlineLvl w:val="2"/>
    </w:pPr>
    <w:rPr>
      <w:rFonts w:eastAsiaTheme="majorEastAsia" w:cstheme="majorBidi"/>
      <w:b/>
      <w:color w:val="2F5496" w:themeColor="accent1" w:themeShade="BF"/>
      <w:kern w:val="2"/>
      <w:sz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0B1751"/>
    <w:pPr>
      <w:keepNext/>
      <w:keepLines/>
      <w:spacing w:before="120" w:after="80"/>
      <w:outlineLvl w:val="3"/>
    </w:pPr>
    <w:rPr>
      <w:rFonts w:ascii="Arial Narrow" w:eastAsiaTheme="minorEastAsia" w:hAnsi="Arial Narrow" w:cs="Times New Roman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D2A"/>
    <w:rPr>
      <w:rFonts w:ascii="Arial" w:eastAsiaTheme="majorEastAsia" w:hAnsi="Arial" w:cstheme="majorBidi"/>
      <w:b/>
      <w:bCs/>
      <w:color w:val="2F5496" w:themeColor="accent1" w:themeShade="BF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93"/>
    <w:pPr>
      <w:numPr>
        <w:ilvl w:val="1"/>
      </w:numPr>
      <w:spacing w:after="160"/>
    </w:pPr>
    <w:rPr>
      <w:rFonts w:ascii="Baskerville" w:eastAsiaTheme="minorEastAsia" w:hAnsi="Baskerville" w:cs="Times New Roman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C4D93"/>
    <w:rPr>
      <w:rFonts w:ascii="Baskerville" w:eastAsiaTheme="minorEastAsia" w:hAnsi="Baskerville"/>
      <w:color w:val="5A5A5A" w:themeColor="text1" w:themeTint="A5"/>
      <w:spacing w:val="15"/>
      <w:sz w:val="22"/>
      <w:szCs w:val="22"/>
    </w:rPr>
  </w:style>
  <w:style w:type="paragraph" w:customStyle="1" w:styleId="Headings2">
    <w:name w:val="Headings 2"/>
    <w:autoRedefine/>
    <w:qFormat/>
    <w:rsid w:val="00565FB5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F7176"/>
    <w:rPr>
      <w:rFonts w:ascii="Calibri" w:eastAsia="Calibri" w:hAnsi="Calibri" w:cs="Calibri"/>
      <w:b/>
      <w:kern w:val="0"/>
      <w:sz w:val="36"/>
      <w:szCs w:val="36"/>
      <w14:ligatures w14:val="none"/>
    </w:rPr>
  </w:style>
  <w:style w:type="paragraph" w:customStyle="1" w:styleId="SDPCHeading">
    <w:name w:val="SDPC Heading"/>
    <w:basedOn w:val="Heading1"/>
    <w:autoRedefine/>
    <w:qFormat/>
    <w:rsid w:val="00937853"/>
    <w:pPr>
      <w:spacing w:after="200" w:line="276" w:lineRule="auto"/>
    </w:pPr>
    <w:rPr>
      <w:rFonts w:asciiTheme="majorHAnsi" w:hAnsiTheme="majorHAnsi"/>
    </w:rPr>
  </w:style>
  <w:style w:type="paragraph" w:customStyle="1" w:styleId="LCPSHeading">
    <w:name w:val="LCPS Heading"/>
    <w:basedOn w:val="Heading1"/>
    <w:autoRedefine/>
    <w:qFormat/>
    <w:rsid w:val="00937853"/>
    <w:rPr>
      <w:bCs w:val="0"/>
    </w:rPr>
  </w:style>
  <w:style w:type="paragraph" w:customStyle="1" w:styleId="SectionHeading">
    <w:name w:val="Section Heading"/>
    <w:basedOn w:val="Heading1"/>
    <w:autoRedefine/>
    <w:qFormat/>
    <w:rsid w:val="001E3917"/>
    <w:rPr>
      <w:bCs w:val="0"/>
      <w:sz w:val="44"/>
      <w:szCs w:val="40"/>
    </w:rPr>
  </w:style>
  <w:style w:type="character" w:styleId="Emphasis">
    <w:name w:val="Emphasis"/>
    <w:aliases w:val="Section Description"/>
    <w:basedOn w:val="DefaultParagraphFont"/>
    <w:uiPriority w:val="20"/>
    <w:qFormat/>
    <w:rsid w:val="001F799A"/>
    <w:rPr>
      <w:rFonts w:ascii="Baskerville" w:hAnsi="Baskerville"/>
      <w:b w:val="0"/>
      <w:i/>
      <w:iCs/>
      <w:sz w:val="28"/>
    </w:rPr>
  </w:style>
  <w:style w:type="paragraph" w:styleId="ListParagraph">
    <w:name w:val="List Paragraph"/>
    <w:basedOn w:val="Normal"/>
    <w:autoRedefine/>
    <w:uiPriority w:val="34"/>
    <w:qFormat/>
    <w:rsid w:val="00FF2D2A"/>
    <w:pPr>
      <w:spacing w:after="200"/>
      <w:ind w:left="720"/>
      <w:contextualSpacing/>
    </w:pPr>
    <w:rPr>
      <w:rFonts w:eastAsiaTheme="minorEastAsia" w:cs="Times New Roman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F799A"/>
    <w:pPr>
      <w:pBdr>
        <w:top w:val="single" w:sz="4" w:space="10" w:color="000000" w:themeColor="text1"/>
        <w:bottom w:val="single" w:sz="4" w:space="10" w:color="000000" w:themeColor="text1"/>
      </w:pBdr>
      <w:spacing w:before="120" w:after="120"/>
    </w:pPr>
    <w:rPr>
      <w:rFonts w:eastAsiaTheme="minorEastAsia" w:cs="Times New Roman"/>
      <w:i/>
      <w:iCs/>
      <w:color w:val="000000" w:themeColor="text1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99A"/>
    <w:rPr>
      <w:rFonts w:ascii="Times New Roman" w:hAnsi="Times New Roman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594CF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1758"/>
    <w:pPr>
      <w:spacing w:after="200"/>
      <w:contextualSpacing/>
    </w:pPr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758"/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numbering" w:customStyle="1" w:styleId="Bullets">
    <w:name w:val="Bullets"/>
    <w:basedOn w:val="NoList"/>
    <w:uiPriority w:val="99"/>
    <w:rsid w:val="00C973A8"/>
    <w:pPr>
      <w:numPr>
        <w:numId w:val="1"/>
      </w:numPr>
    </w:pPr>
  </w:style>
  <w:style w:type="paragraph" w:customStyle="1" w:styleId="BulletedList">
    <w:name w:val="Bulleted List"/>
    <w:basedOn w:val="ListBullet"/>
    <w:autoRedefine/>
    <w:qFormat/>
    <w:rsid w:val="000B1751"/>
    <w:pPr>
      <w:numPr>
        <w:numId w:val="4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FF2D2A"/>
    <w:pPr>
      <w:numPr>
        <w:numId w:val="10"/>
      </w:numPr>
      <w:spacing w:after="40" w:line="240" w:lineRule="auto"/>
      <w:contextualSpacing/>
    </w:pPr>
    <w:rPr>
      <w:rFonts w:eastAsia="Arial Narrow" w:cs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D2A"/>
    <w:rPr>
      <w:rFonts w:ascii="Arial" w:eastAsiaTheme="majorEastAsia" w:hAnsi="Arial" w:cstheme="majorBidi"/>
      <w:b/>
      <w:color w:val="2F5496" w:themeColor="accent1" w:themeShade="BF"/>
    </w:rPr>
  </w:style>
  <w:style w:type="paragraph" w:styleId="ListNumber2">
    <w:name w:val="List Number 2"/>
    <w:basedOn w:val="Normal"/>
    <w:autoRedefine/>
    <w:uiPriority w:val="99"/>
    <w:unhideWhenUsed/>
    <w:qFormat/>
    <w:rsid w:val="000B1751"/>
    <w:pPr>
      <w:numPr>
        <w:numId w:val="9"/>
      </w:numPr>
      <w:spacing w:before="120" w:after="80"/>
      <w:contextualSpacing/>
    </w:pPr>
    <w:rPr>
      <w:rFonts w:eastAsiaTheme="minorEastAsia" w:cs="Times New Roman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751"/>
    <w:rPr>
      <w:rFonts w:ascii="Arial Narrow" w:eastAsia="Calibri" w:hAnsi="Arial Narrow" w:cs="Calibri"/>
      <w:b/>
      <w:kern w:val="0"/>
      <w14:ligatures w14:val="none"/>
    </w:rPr>
  </w:style>
  <w:style w:type="paragraph" w:customStyle="1" w:styleId="Letterhead">
    <w:name w:val="Letterhead"/>
    <w:basedOn w:val="Heading1"/>
    <w:autoRedefine/>
    <w:qFormat/>
    <w:rsid w:val="000B1751"/>
    <w:rPr>
      <w:rFonts w:ascii="Times New Roman" w:hAnsi="Times New Roman"/>
      <w:noProof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1751"/>
    <w:pPr>
      <w:spacing w:before="80" w:after="80"/>
    </w:pPr>
    <w:rPr>
      <w:rFonts w:ascii="Arial Narrow" w:eastAsiaTheme="minorEastAsia" w:hAnsi="Arial Narrow" w:cstheme="minorHAnsi"/>
      <w:b/>
      <w:bCs/>
      <w:caps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B1751"/>
    <w:pPr>
      <w:spacing w:before="40" w:after="40" w:line="240" w:lineRule="auto"/>
      <w:ind w:left="245"/>
    </w:pPr>
    <w:rPr>
      <w:rFonts w:ascii="Arial Narrow" w:eastAsiaTheme="minorEastAsia" w:hAnsi="Arial Narrow" w:cstheme="minorHAnsi"/>
      <w:small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B1751"/>
    <w:pPr>
      <w:spacing w:after="200"/>
      <w:ind w:left="576"/>
    </w:pPr>
    <w:rPr>
      <w:rFonts w:ascii="Arial Narrow" w:eastAsiaTheme="minorEastAsia" w:hAnsi="Arial Narrow" w:cstheme="minorHAnsi"/>
      <w:iCs/>
      <w:sz w:val="24"/>
      <w:szCs w:val="20"/>
    </w:rPr>
  </w:style>
  <w:style w:type="paragraph" w:customStyle="1" w:styleId="Boxes">
    <w:name w:val="Boxes"/>
    <w:basedOn w:val="Normal"/>
    <w:autoRedefine/>
    <w:qFormat/>
    <w:rsid w:val="00FF2D2A"/>
    <w:pPr>
      <w:spacing w:line="240" w:lineRule="auto"/>
      <w:textDirection w:val="btLr"/>
    </w:pPr>
    <w:rPr>
      <w:rFonts w:ascii="Helvetica Neue" w:eastAsia="Helvetica Neue" w:hAnsi="Helvetica Neue" w:cs="Helvetica Neue"/>
      <w:color w:val="404040"/>
      <w:sz w:val="18"/>
      <w:szCs w:val="18"/>
    </w:rPr>
  </w:style>
  <w:style w:type="paragraph" w:customStyle="1" w:styleId="BoxHeader">
    <w:name w:val="Box Header"/>
    <w:basedOn w:val="Boxes"/>
    <w:autoRedefine/>
    <w:qFormat/>
    <w:rsid w:val="00FF2D2A"/>
    <w:rPr>
      <w:b/>
      <w:sz w:val="20"/>
    </w:rPr>
  </w:style>
  <w:style w:type="character" w:styleId="Hyperlink">
    <w:name w:val="Hyperlink"/>
    <w:basedOn w:val="Heading3Char"/>
    <w:uiPriority w:val="99"/>
    <w:unhideWhenUsed/>
    <w:qFormat/>
    <w:rsid w:val="00FF2D2A"/>
    <w:rPr>
      <w:rFonts w:ascii="Arial" w:eastAsia="Helvetica Neue" w:hAnsi="Arial" w:cstheme="majorBidi"/>
      <w:b/>
      <w:color w:val="2F5496" w:themeColor="accent1" w:themeShade="BF"/>
      <w:sz w:val="24"/>
      <w:u w:val="single"/>
    </w:rPr>
  </w:style>
  <w:style w:type="paragraph" w:styleId="ListBullet2">
    <w:name w:val="List Bullet 2"/>
    <w:basedOn w:val="Normal"/>
    <w:autoRedefine/>
    <w:uiPriority w:val="99"/>
    <w:unhideWhenUsed/>
    <w:qFormat/>
    <w:rsid w:val="001E3BDB"/>
    <w:pPr>
      <w:numPr>
        <w:numId w:val="12"/>
      </w:numPr>
      <w:spacing w:line="240" w:lineRule="auto"/>
      <w:contextualSpacing/>
    </w:pPr>
    <w:rPr>
      <w:rFonts w:asciiTheme="minorHAnsi" w:hAnsiTheme="minorHAnsi" w:cstheme="minorBidi"/>
      <w:sz w:val="24"/>
    </w:rPr>
  </w:style>
  <w:style w:type="table" w:styleId="TableGrid">
    <w:name w:val="Table Grid"/>
    <w:basedOn w:val="TableNormal"/>
    <w:uiPriority w:val="39"/>
    <w:rsid w:val="006D6EBB"/>
    <w:rPr>
      <w:rFonts w:ascii="Arial" w:hAnsi="Arial" w:cs="Times New Roman (Body CS)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5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500"/>
    <w:rPr>
      <w:rFonts w:ascii="Arial" w:hAnsi="Arial" w:cs="Times New Roman (Body CS)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75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500"/>
    <w:rPr>
      <w:rFonts w:ascii="Arial" w:hAnsi="Arial" w:cs="Times New Roman (Body CS)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0990124495041A58B1EA7EE4B4C4D" ma:contentTypeVersion="8" ma:contentTypeDescription="Create a new document." ma:contentTypeScope="" ma:versionID="0b9cdecf54323b7d7cb1bc65c55e77fc">
  <xsd:schema xmlns:xsd="http://www.w3.org/2001/XMLSchema" xmlns:xs="http://www.w3.org/2001/XMLSchema" xmlns:p="http://schemas.microsoft.com/office/2006/metadata/properties" xmlns:ns2="1ef090b7-1718-4358-94c7-f197a560f3c7" xmlns:ns3="2f2bf79d-f94b-481f-b0fb-a36c5ae4a054" targetNamespace="http://schemas.microsoft.com/office/2006/metadata/properties" ma:root="true" ma:fieldsID="a0f6bcf3b6baeadd98277c4b192beb9a" ns2:_="" ns3:_="">
    <xsd:import namespace="1ef090b7-1718-4358-94c7-f197a560f3c7"/>
    <xsd:import namespace="2f2bf79d-f94b-481f-b0fb-a36c5ae4a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90b7-1718-4358-94c7-f197a560f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bf79d-f94b-481f-b0fb-a36c5ae4a0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90210b-595e-4e08-96c1-c5d82ee6aafd}" ma:internalName="TaxCatchAll" ma:showField="CatchAllData" ma:web="2f2bf79d-f94b-481f-b0fb-a36c5ae4a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f090b7-1718-4358-94c7-f197a560f3c7">
      <Terms xmlns="http://schemas.microsoft.com/office/infopath/2007/PartnerControls"/>
    </lcf76f155ced4ddcb4097134ff3c332f>
    <TaxCatchAll xmlns="2f2bf79d-f94b-481f-b0fb-a36c5ae4a054" xsi:nil="true"/>
  </documentManagement>
</p:properties>
</file>

<file path=customXml/itemProps1.xml><?xml version="1.0" encoding="utf-8"?>
<ds:datastoreItem xmlns:ds="http://schemas.openxmlformats.org/officeDocument/2006/customXml" ds:itemID="{A8D464C6-E90E-413C-8DAD-2909D2FD9B2F}"/>
</file>

<file path=customXml/itemProps2.xml><?xml version="1.0" encoding="utf-8"?>
<ds:datastoreItem xmlns:ds="http://schemas.openxmlformats.org/officeDocument/2006/customXml" ds:itemID="{97DBDBF8-996B-4176-88E3-5A25A39360D6}"/>
</file>

<file path=customXml/itemProps3.xml><?xml version="1.0" encoding="utf-8"?>
<ds:datastoreItem xmlns:ds="http://schemas.openxmlformats.org/officeDocument/2006/customXml" ds:itemID="{82CC6507-18EB-4FF4-BC0B-23A3D22A0A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Moseley</dc:creator>
  <cp:keywords/>
  <dc:description/>
  <cp:lastModifiedBy>Shawna White</cp:lastModifiedBy>
  <cp:revision>3</cp:revision>
  <dcterms:created xsi:type="dcterms:W3CDTF">2023-10-24T17:55:00Z</dcterms:created>
  <dcterms:modified xsi:type="dcterms:W3CDTF">2023-12-01T21:23:00Z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0x0101001400990124495041A58B1EA7EE4B4C4D</vt:lpwstr>
  </property>
</Properties>
</file>