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51A" w:rsidRPr="006B2C7D" w:rsidRDefault="009F551A">
      <w:pPr>
        <w:pStyle w:val="Title"/>
      </w:pPr>
      <w:bookmarkStart w:id="0" w:name="_GoBack"/>
      <w:bookmarkEnd w:id="0"/>
      <w:r w:rsidRPr="006B2C7D">
        <w:t>VICTIMS OF CRIME ACT</w:t>
      </w:r>
    </w:p>
    <w:p w:rsidR="009F551A" w:rsidRPr="006B2C7D" w:rsidRDefault="009F551A">
      <w:pPr>
        <w:jc w:val="center"/>
        <w:rPr>
          <w:sz w:val="24"/>
          <w:u w:val="single"/>
        </w:rPr>
      </w:pPr>
    </w:p>
    <w:p w:rsidR="009F551A" w:rsidRPr="006B2C7D" w:rsidRDefault="009F551A">
      <w:pPr>
        <w:jc w:val="center"/>
        <w:rPr>
          <w:sz w:val="24"/>
        </w:rPr>
      </w:pPr>
      <w:r w:rsidRPr="006B2C7D">
        <w:rPr>
          <w:sz w:val="24"/>
        </w:rPr>
        <w:t>GENERAL GRANT CONDITIONS AND ASSURANCES</w:t>
      </w:r>
    </w:p>
    <w:p w:rsidR="009F551A" w:rsidRPr="006B2C7D" w:rsidRDefault="009F551A">
      <w:pPr>
        <w:rPr>
          <w:sz w:val="24"/>
        </w:rPr>
      </w:pPr>
    </w:p>
    <w:p w:rsidR="009F551A" w:rsidRPr="006B2C7D" w:rsidRDefault="009F551A">
      <w:pPr>
        <w:jc w:val="both"/>
        <w:rPr>
          <w:sz w:val="24"/>
        </w:rPr>
      </w:pPr>
      <w:r w:rsidRPr="006B2C7D">
        <w:rPr>
          <w:sz w:val="24"/>
        </w:rPr>
        <w:t>The applicant gives assurances and certifies with respect to the grant for which it is applying that it will comply with the following requirements in the event that the grant is awarded:</w:t>
      </w:r>
    </w:p>
    <w:p w:rsidR="009F551A" w:rsidRPr="006B2C7D" w:rsidRDefault="009F551A">
      <w:pPr>
        <w:jc w:val="both"/>
        <w:rPr>
          <w:sz w:val="24"/>
        </w:rPr>
      </w:pPr>
    </w:p>
    <w:p w:rsidR="009F551A" w:rsidRPr="006B2C7D" w:rsidRDefault="009F551A">
      <w:pPr>
        <w:ind w:left="360" w:hanging="360"/>
        <w:jc w:val="both"/>
        <w:rPr>
          <w:sz w:val="24"/>
        </w:rPr>
      </w:pPr>
      <w:r w:rsidRPr="006B2C7D">
        <w:rPr>
          <w:sz w:val="24"/>
        </w:rPr>
        <w:t>1.</w:t>
      </w:r>
      <w:r w:rsidRPr="006B2C7D">
        <w:rPr>
          <w:sz w:val="24"/>
        </w:rPr>
        <w:tab/>
        <w:t xml:space="preserve">The applicant will comply with all applicable provisions of the federal Victims of Crime Act (VOCA) of 1984, as amended, (see 42 U.S.C. 10601, et. seq.) the Program Guidelines, and the requirements of the </w:t>
      </w:r>
      <w:r w:rsidRPr="006B2C7D">
        <w:rPr>
          <w:sz w:val="24"/>
          <w:u w:val="single"/>
        </w:rPr>
        <w:t>OJP Financial Guide</w:t>
      </w:r>
      <w:r w:rsidRPr="006B2C7D">
        <w:rPr>
          <w:sz w:val="24"/>
        </w:rPr>
        <w:t>, effective edition. Additionally, the applicant will comply with the Department of Criminal Justice Services’ (DCJS) program guidelines and grant conditions</w:t>
      </w:r>
      <w:r w:rsidRPr="006B2C7D">
        <w:rPr>
          <w:rFonts w:ascii="Arial" w:hAnsi="Arial"/>
          <w:sz w:val="24"/>
        </w:rPr>
        <w:t>.</w:t>
      </w:r>
      <w:r w:rsidRPr="006B2C7D">
        <w:rPr>
          <w:sz w:val="24"/>
        </w:rPr>
        <w:t xml:space="preserve"> </w:t>
      </w:r>
    </w:p>
    <w:p w:rsidR="009F551A" w:rsidRPr="006B2C7D" w:rsidRDefault="009F551A">
      <w:pPr>
        <w:jc w:val="both"/>
        <w:rPr>
          <w:sz w:val="24"/>
        </w:rPr>
      </w:pPr>
    </w:p>
    <w:p w:rsidR="009F551A" w:rsidRPr="006B2C7D" w:rsidRDefault="009F551A">
      <w:pPr>
        <w:ind w:left="360" w:hanging="360"/>
        <w:jc w:val="both"/>
        <w:rPr>
          <w:sz w:val="24"/>
        </w:rPr>
      </w:pPr>
      <w:r w:rsidRPr="006B2C7D">
        <w:rPr>
          <w:sz w:val="24"/>
        </w:rPr>
        <w:t>2.</w:t>
      </w:r>
      <w:r w:rsidRPr="006B2C7D">
        <w:rPr>
          <w:sz w:val="24"/>
        </w:rPr>
        <w:tab/>
      </w:r>
      <w:r w:rsidR="00467039" w:rsidRPr="006B2C7D">
        <w:rPr>
          <w:sz w:val="24"/>
          <w:u w:val="single"/>
        </w:rPr>
        <w:t>FISCAL MANAGEMENT PROCEDURES</w:t>
      </w:r>
      <w:r w:rsidR="00467039" w:rsidRPr="006B2C7D">
        <w:rPr>
          <w:sz w:val="24"/>
        </w:rPr>
        <w:t xml:space="preserve">: </w:t>
      </w:r>
      <w:r w:rsidRPr="006B2C7D">
        <w:rPr>
          <w:sz w:val="24"/>
        </w:rPr>
        <w:t>The applicant assures that fund accounting, auditing, monitoring, and such evaluation procedures as may be necessary to keep such records as the Department of Criminal Justice Services shall prescribe shall be provided to assure fiscal control, proper management, and efficient disbursement of funds received under this grant.</w:t>
      </w:r>
    </w:p>
    <w:p w:rsidR="009F551A" w:rsidRPr="006B2C7D" w:rsidRDefault="009F551A">
      <w:pPr>
        <w:jc w:val="both"/>
        <w:rPr>
          <w:sz w:val="24"/>
        </w:rPr>
      </w:pPr>
    </w:p>
    <w:p w:rsidR="009F551A" w:rsidRPr="006B2C7D" w:rsidRDefault="009F551A">
      <w:pPr>
        <w:ind w:left="360" w:hanging="360"/>
        <w:jc w:val="both"/>
        <w:rPr>
          <w:sz w:val="24"/>
        </w:rPr>
      </w:pPr>
      <w:r w:rsidRPr="006B2C7D">
        <w:rPr>
          <w:sz w:val="24"/>
        </w:rPr>
        <w:t>3.</w:t>
      </w:r>
      <w:r w:rsidRPr="006B2C7D">
        <w:rPr>
          <w:sz w:val="24"/>
        </w:rPr>
        <w:tab/>
      </w:r>
      <w:r w:rsidRPr="006B2C7D">
        <w:rPr>
          <w:sz w:val="24"/>
          <w:u w:val="single"/>
        </w:rPr>
        <w:t>REPORTS:</w:t>
      </w:r>
      <w:r w:rsidRPr="006B2C7D">
        <w:rPr>
          <w:sz w:val="24"/>
        </w:rPr>
        <w:t xml:space="preserve">  The applicant agrees to submit such reports as the DCJS shall reasonably request.  Financial and progress reports shall be submitted to the DCJS on the 12th </w:t>
      </w:r>
      <w:r w:rsidRPr="006B2C7D">
        <w:rPr>
          <w:b/>
          <w:sz w:val="24"/>
          <w:u w:val="single"/>
        </w:rPr>
        <w:t>working</w:t>
      </w:r>
      <w:r w:rsidRPr="006B2C7D">
        <w:rPr>
          <w:sz w:val="24"/>
        </w:rPr>
        <w:t xml:space="preserve"> day following the close of each quarter.</w:t>
      </w:r>
      <w:r w:rsidR="00D10DDD" w:rsidRPr="006B2C7D">
        <w:rPr>
          <w:sz w:val="24"/>
        </w:rPr>
        <w:t xml:space="preserve"> The applicant further agrees to upload quarterly progress data required by the federal Office for Victims of Crime (OCV) to the Performance Management Tool (PMT) in accordance with OVC requirements.</w:t>
      </w:r>
    </w:p>
    <w:p w:rsidR="009F551A" w:rsidRPr="006B2C7D" w:rsidRDefault="009F551A">
      <w:pPr>
        <w:ind w:left="360" w:hanging="360"/>
        <w:jc w:val="both"/>
        <w:rPr>
          <w:sz w:val="24"/>
        </w:rPr>
      </w:pPr>
    </w:p>
    <w:p w:rsidR="009F551A" w:rsidRPr="006B2C7D" w:rsidRDefault="009F551A">
      <w:pPr>
        <w:ind w:left="360" w:hanging="360"/>
        <w:jc w:val="both"/>
        <w:rPr>
          <w:sz w:val="24"/>
        </w:rPr>
      </w:pPr>
      <w:r w:rsidRPr="006B2C7D">
        <w:rPr>
          <w:sz w:val="24"/>
        </w:rPr>
        <w:t>4.</w:t>
      </w:r>
      <w:r w:rsidRPr="006B2C7D">
        <w:rPr>
          <w:sz w:val="24"/>
        </w:rPr>
        <w:tab/>
      </w:r>
      <w:r w:rsidRPr="006B2C7D">
        <w:rPr>
          <w:sz w:val="24"/>
          <w:u w:val="single"/>
        </w:rPr>
        <w:t>INSPECTION AND AUDIT:</w:t>
      </w:r>
      <w:r w:rsidRPr="006B2C7D">
        <w:rPr>
          <w:sz w:val="24"/>
        </w:rPr>
        <w:t xml:space="preserve">  The applicant agrees to comply with the organizational audit requirements of OMB Circular A-128, "Audits of State and Local Governments."  In conjunction with the beginning date of the award, the audit report period of the government entity to be audited under the single audit requirement is the start-date of the project through the end-date of the project as noted on the Statement of Grant Award/Acceptance.  The audit report shall be submitted no later than one (1) year from the end-date of the grant award as stated on the Statement of Grant Award/Acceptance, and for each audit cycle thereafter covering the entire award period as originally approved or amended.  The management letter must be submitted with the audit report.  A copy of all audits must be forwarded to the DCJS.</w:t>
      </w:r>
    </w:p>
    <w:p w:rsidR="009F551A" w:rsidRPr="006B2C7D" w:rsidRDefault="009F551A">
      <w:pPr>
        <w:jc w:val="both"/>
        <w:rPr>
          <w:sz w:val="24"/>
        </w:rPr>
      </w:pPr>
      <w:r w:rsidRPr="006B2C7D">
        <w:rPr>
          <w:sz w:val="24"/>
        </w:rPr>
        <w:t xml:space="preserve"> </w:t>
      </w:r>
    </w:p>
    <w:p w:rsidR="009F551A" w:rsidRPr="006B2C7D" w:rsidRDefault="009F551A">
      <w:pPr>
        <w:ind w:left="360" w:hanging="360"/>
        <w:jc w:val="both"/>
        <w:rPr>
          <w:sz w:val="24"/>
        </w:rPr>
      </w:pPr>
      <w:r w:rsidRPr="006B2C7D">
        <w:rPr>
          <w:sz w:val="24"/>
        </w:rPr>
        <w:t>5.</w:t>
      </w:r>
      <w:r w:rsidRPr="006B2C7D">
        <w:rPr>
          <w:sz w:val="24"/>
        </w:rPr>
        <w:tab/>
        <w:t>The applicant will comply, where applicable, with the following:</w:t>
      </w:r>
    </w:p>
    <w:p w:rsidR="009F551A" w:rsidRPr="006B2C7D" w:rsidRDefault="009F551A">
      <w:pPr>
        <w:ind w:left="360" w:hanging="360"/>
        <w:jc w:val="both"/>
        <w:rPr>
          <w:sz w:val="24"/>
        </w:rPr>
      </w:pPr>
      <w:r w:rsidRPr="006B2C7D">
        <w:rPr>
          <w:sz w:val="24"/>
        </w:rPr>
        <w:t xml:space="preserve"> </w:t>
      </w:r>
    </w:p>
    <w:p w:rsidR="009F551A" w:rsidRPr="006B2C7D" w:rsidRDefault="009F551A">
      <w:pPr>
        <w:spacing w:line="240" w:lineRule="exact"/>
        <w:ind w:left="360"/>
        <w:jc w:val="both"/>
        <w:rPr>
          <w:sz w:val="24"/>
        </w:rPr>
      </w:pPr>
      <w:r w:rsidRPr="006B2C7D">
        <w:rPr>
          <w:sz w:val="24"/>
        </w:rPr>
        <w:t>a.</w:t>
      </w:r>
      <w:r w:rsidRPr="006B2C7D">
        <w:rPr>
          <w:sz w:val="24"/>
        </w:rPr>
        <w:tab/>
        <w:t>National Environment Policy Act (28 CFR 61)</w:t>
      </w:r>
    </w:p>
    <w:p w:rsidR="009F551A" w:rsidRPr="006B2C7D" w:rsidRDefault="009F551A">
      <w:pPr>
        <w:spacing w:line="140" w:lineRule="exact"/>
        <w:ind w:left="360" w:hanging="360"/>
        <w:jc w:val="both"/>
        <w:rPr>
          <w:sz w:val="24"/>
        </w:rPr>
      </w:pPr>
      <w:r w:rsidRPr="006B2C7D">
        <w:rPr>
          <w:sz w:val="24"/>
        </w:rPr>
        <w:t xml:space="preserve"> </w:t>
      </w:r>
    </w:p>
    <w:p w:rsidR="009F551A" w:rsidRPr="006B2C7D" w:rsidRDefault="009F551A">
      <w:pPr>
        <w:spacing w:line="240" w:lineRule="exact"/>
        <w:ind w:left="720" w:hanging="360"/>
        <w:jc w:val="both"/>
        <w:rPr>
          <w:sz w:val="24"/>
        </w:rPr>
      </w:pPr>
      <w:r w:rsidRPr="006B2C7D">
        <w:rPr>
          <w:sz w:val="24"/>
        </w:rPr>
        <w:t>b.</w:t>
      </w:r>
      <w:r w:rsidRPr="006B2C7D">
        <w:rPr>
          <w:sz w:val="24"/>
        </w:rPr>
        <w:tab/>
        <w:t>Flood Plain Management and Wetland Protection Procedures (28 CFR 63)</w:t>
      </w:r>
    </w:p>
    <w:p w:rsidR="009F551A" w:rsidRPr="006B2C7D" w:rsidRDefault="009F551A">
      <w:pPr>
        <w:spacing w:line="140" w:lineRule="exact"/>
        <w:ind w:left="720" w:hanging="360"/>
        <w:jc w:val="both"/>
        <w:rPr>
          <w:sz w:val="24"/>
        </w:rPr>
      </w:pPr>
    </w:p>
    <w:p w:rsidR="009F551A" w:rsidRPr="006B2C7D" w:rsidRDefault="009F551A">
      <w:pPr>
        <w:spacing w:line="240" w:lineRule="exact"/>
        <w:ind w:left="720" w:hanging="360"/>
        <w:jc w:val="both"/>
        <w:rPr>
          <w:sz w:val="24"/>
        </w:rPr>
      </w:pPr>
      <w:r w:rsidRPr="006B2C7D">
        <w:rPr>
          <w:sz w:val="24"/>
        </w:rPr>
        <w:t>c.</w:t>
      </w:r>
      <w:r w:rsidRPr="006B2C7D">
        <w:rPr>
          <w:sz w:val="24"/>
        </w:rPr>
        <w:tab/>
        <w:t xml:space="preserve">National Historic Preservation </w:t>
      </w:r>
      <w:proofErr w:type="gramStart"/>
      <w:r w:rsidRPr="006B2C7D">
        <w:rPr>
          <w:sz w:val="24"/>
        </w:rPr>
        <w:t>Act  (</w:t>
      </w:r>
      <w:proofErr w:type="gramEnd"/>
      <w:r w:rsidRPr="006B2C7D">
        <w:rPr>
          <w:sz w:val="24"/>
        </w:rPr>
        <w:t>16 USC 470)</w:t>
      </w:r>
    </w:p>
    <w:p w:rsidR="009F551A" w:rsidRPr="006B2C7D" w:rsidRDefault="009F551A">
      <w:pPr>
        <w:spacing w:line="140" w:lineRule="exact"/>
        <w:ind w:left="720" w:hanging="360"/>
        <w:jc w:val="both"/>
        <w:rPr>
          <w:sz w:val="24"/>
        </w:rPr>
      </w:pPr>
    </w:p>
    <w:p w:rsidR="009F551A" w:rsidRPr="006B2C7D" w:rsidRDefault="009F551A">
      <w:pPr>
        <w:spacing w:line="240" w:lineRule="exact"/>
        <w:ind w:left="720" w:hanging="360"/>
        <w:jc w:val="both"/>
        <w:rPr>
          <w:sz w:val="24"/>
        </w:rPr>
      </w:pPr>
      <w:r w:rsidRPr="006B2C7D">
        <w:rPr>
          <w:sz w:val="24"/>
        </w:rPr>
        <w:t>d.</w:t>
      </w:r>
      <w:r w:rsidRPr="006B2C7D">
        <w:rPr>
          <w:sz w:val="24"/>
        </w:rPr>
        <w:tab/>
        <w:t>Uniform Relocation Assistance and Real Property Acquisitions Policies Act of 1970.  (28 CFR 52)</w:t>
      </w:r>
    </w:p>
    <w:p w:rsidR="009F551A" w:rsidRPr="006B2C7D" w:rsidRDefault="009F551A">
      <w:pPr>
        <w:spacing w:line="140" w:lineRule="exact"/>
        <w:ind w:left="720" w:hanging="360"/>
        <w:jc w:val="both"/>
        <w:rPr>
          <w:sz w:val="24"/>
        </w:rPr>
      </w:pPr>
    </w:p>
    <w:p w:rsidR="009F551A" w:rsidRPr="006B2C7D" w:rsidRDefault="009F551A">
      <w:pPr>
        <w:spacing w:line="240" w:lineRule="exact"/>
        <w:ind w:left="720" w:hanging="360"/>
        <w:jc w:val="both"/>
        <w:rPr>
          <w:sz w:val="24"/>
        </w:rPr>
      </w:pPr>
      <w:r w:rsidRPr="006B2C7D">
        <w:rPr>
          <w:sz w:val="24"/>
        </w:rPr>
        <w:t>e.</w:t>
      </w:r>
      <w:r w:rsidRPr="006B2C7D">
        <w:rPr>
          <w:sz w:val="24"/>
        </w:rPr>
        <w:tab/>
        <w:t xml:space="preserve">Clean Air Act, P. L. 88-206, 42 USC 1857, </w:t>
      </w:r>
      <w:proofErr w:type="gramStart"/>
      <w:r w:rsidRPr="006B2C7D">
        <w:rPr>
          <w:sz w:val="24"/>
          <w:u w:val="single"/>
        </w:rPr>
        <w:t>et</w:t>
      </w:r>
      <w:proofErr w:type="gramEnd"/>
      <w:r w:rsidRPr="006B2C7D">
        <w:rPr>
          <w:sz w:val="24"/>
          <w:u w:val="single"/>
        </w:rPr>
        <w:t>. seq</w:t>
      </w:r>
      <w:r w:rsidRPr="006B2C7D">
        <w:rPr>
          <w:sz w:val="24"/>
        </w:rPr>
        <w:t>.</w:t>
      </w:r>
    </w:p>
    <w:p w:rsidR="009F551A" w:rsidRPr="006B2C7D" w:rsidRDefault="009F551A">
      <w:pPr>
        <w:spacing w:line="140" w:lineRule="exact"/>
        <w:ind w:left="720" w:hanging="360"/>
        <w:jc w:val="both"/>
        <w:rPr>
          <w:sz w:val="24"/>
        </w:rPr>
      </w:pPr>
    </w:p>
    <w:p w:rsidR="009F551A" w:rsidRPr="006B2C7D" w:rsidRDefault="009F551A">
      <w:pPr>
        <w:spacing w:line="240" w:lineRule="exact"/>
        <w:ind w:left="720" w:hanging="360"/>
        <w:jc w:val="both"/>
        <w:rPr>
          <w:sz w:val="24"/>
        </w:rPr>
      </w:pPr>
      <w:r w:rsidRPr="006B2C7D">
        <w:rPr>
          <w:sz w:val="24"/>
        </w:rPr>
        <w:lastRenderedPageBreak/>
        <w:t>f.</w:t>
      </w:r>
      <w:r w:rsidRPr="006B2C7D">
        <w:rPr>
          <w:sz w:val="24"/>
        </w:rPr>
        <w:tab/>
        <w:t xml:space="preserve">Safe Drinking Water Act, P. L. 93-523, 42 USC 3001, </w:t>
      </w:r>
      <w:proofErr w:type="gramStart"/>
      <w:r w:rsidRPr="006B2C7D">
        <w:rPr>
          <w:sz w:val="24"/>
          <w:u w:val="single"/>
        </w:rPr>
        <w:t>et</w:t>
      </w:r>
      <w:proofErr w:type="gramEnd"/>
      <w:r w:rsidRPr="006B2C7D">
        <w:rPr>
          <w:sz w:val="24"/>
          <w:u w:val="single"/>
        </w:rPr>
        <w:t>. seq</w:t>
      </w:r>
      <w:r w:rsidRPr="006B2C7D">
        <w:rPr>
          <w:sz w:val="24"/>
        </w:rPr>
        <w:t>.</w:t>
      </w:r>
    </w:p>
    <w:p w:rsidR="009F551A" w:rsidRPr="006B2C7D" w:rsidRDefault="009F551A">
      <w:pPr>
        <w:spacing w:line="140" w:lineRule="exact"/>
        <w:ind w:left="720" w:hanging="360"/>
        <w:jc w:val="both"/>
        <w:rPr>
          <w:sz w:val="24"/>
        </w:rPr>
      </w:pPr>
    </w:p>
    <w:p w:rsidR="009F551A" w:rsidRPr="006B2C7D" w:rsidRDefault="009F551A">
      <w:pPr>
        <w:spacing w:line="240" w:lineRule="exact"/>
        <w:ind w:left="720" w:hanging="360"/>
        <w:jc w:val="both"/>
        <w:rPr>
          <w:sz w:val="24"/>
        </w:rPr>
      </w:pPr>
      <w:r w:rsidRPr="006B2C7D">
        <w:rPr>
          <w:sz w:val="24"/>
        </w:rPr>
        <w:t>g.</w:t>
      </w:r>
      <w:r w:rsidRPr="006B2C7D">
        <w:rPr>
          <w:sz w:val="24"/>
        </w:rPr>
        <w:tab/>
        <w:t xml:space="preserve">Endangered Species Act of 1973, P. L. 93-205, 16 USC 1531, </w:t>
      </w:r>
      <w:proofErr w:type="gramStart"/>
      <w:r w:rsidRPr="006B2C7D">
        <w:rPr>
          <w:sz w:val="24"/>
          <w:u w:val="single"/>
        </w:rPr>
        <w:t>et</w:t>
      </w:r>
      <w:proofErr w:type="gramEnd"/>
      <w:r w:rsidRPr="006B2C7D">
        <w:rPr>
          <w:sz w:val="24"/>
          <w:u w:val="single"/>
        </w:rPr>
        <w:t>. seq</w:t>
      </w:r>
      <w:r w:rsidRPr="006B2C7D">
        <w:rPr>
          <w:sz w:val="24"/>
        </w:rPr>
        <w:t>.</w:t>
      </w:r>
    </w:p>
    <w:p w:rsidR="009F551A" w:rsidRPr="006B2C7D" w:rsidRDefault="009F551A">
      <w:pPr>
        <w:spacing w:line="140" w:lineRule="exact"/>
        <w:ind w:left="720" w:hanging="360"/>
        <w:jc w:val="both"/>
        <w:rPr>
          <w:sz w:val="24"/>
        </w:rPr>
      </w:pPr>
      <w:r w:rsidRPr="006B2C7D">
        <w:rPr>
          <w:sz w:val="24"/>
        </w:rPr>
        <w:t xml:space="preserve"> </w:t>
      </w:r>
    </w:p>
    <w:p w:rsidR="009F551A" w:rsidRPr="006B2C7D" w:rsidRDefault="009F551A">
      <w:pPr>
        <w:spacing w:line="240" w:lineRule="exact"/>
        <w:ind w:left="720" w:hanging="360"/>
        <w:jc w:val="both"/>
        <w:rPr>
          <w:sz w:val="24"/>
        </w:rPr>
      </w:pPr>
      <w:r w:rsidRPr="006B2C7D">
        <w:rPr>
          <w:sz w:val="24"/>
        </w:rPr>
        <w:t>h.</w:t>
      </w:r>
      <w:r w:rsidRPr="006B2C7D">
        <w:rPr>
          <w:sz w:val="24"/>
        </w:rPr>
        <w:tab/>
        <w:t xml:space="preserve">Wild and Scenic Rivers Act, P. L. 90-542, 16 USC 1271, </w:t>
      </w:r>
      <w:proofErr w:type="gramStart"/>
      <w:r w:rsidRPr="006B2C7D">
        <w:rPr>
          <w:sz w:val="24"/>
          <w:u w:val="single"/>
        </w:rPr>
        <w:t>et</w:t>
      </w:r>
      <w:proofErr w:type="gramEnd"/>
      <w:r w:rsidRPr="006B2C7D">
        <w:rPr>
          <w:sz w:val="24"/>
          <w:u w:val="single"/>
        </w:rPr>
        <w:t>. seq</w:t>
      </w:r>
      <w:r w:rsidRPr="006B2C7D">
        <w:rPr>
          <w:sz w:val="24"/>
        </w:rPr>
        <w:t>.</w:t>
      </w:r>
    </w:p>
    <w:p w:rsidR="009F551A" w:rsidRPr="006B2C7D" w:rsidRDefault="009F551A">
      <w:pPr>
        <w:spacing w:line="140" w:lineRule="exact"/>
        <w:ind w:left="720" w:hanging="360"/>
        <w:jc w:val="both"/>
        <w:rPr>
          <w:sz w:val="24"/>
        </w:rPr>
      </w:pPr>
      <w:r w:rsidRPr="006B2C7D">
        <w:rPr>
          <w:sz w:val="24"/>
        </w:rPr>
        <w:t xml:space="preserve"> </w:t>
      </w:r>
    </w:p>
    <w:p w:rsidR="009F551A" w:rsidRPr="006B2C7D" w:rsidRDefault="009F551A">
      <w:pPr>
        <w:spacing w:line="240" w:lineRule="exact"/>
        <w:ind w:left="720" w:hanging="360"/>
        <w:jc w:val="both"/>
        <w:rPr>
          <w:sz w:val="24"/>
          <w:u w:val="single"/>
        </w:rPr>
      </w:pPr>
      <w:proofErr w:type="spellStart"/>
      <w:r w:rsidRPr="006B2C7D">
        <w:rPr>
          <w:sz w:val="24"/>
        </w:rPr>
        <w:t>i</w:t>
      </w:r>
      <w:proofErr w:type="spellEnd"/>
      <w:r w:rsidRPr="006B2C7D">
        <w:rPr>
          <w:sz w:val="24"/>
        </w:rPr>
        <w:t>.</w:t>
      </w:r>
      <w:r w:rsidRPr="006B2C7D">
        <w:rPr>
          <w:sz w:val="24"/>
        </w:rPr>
        <w:tab/>
        <w:t xml:space="preserve">Fish and Wildlife Coordination Act, P. L. 85-624, 16 USC 661, </w:t>
      </w:r>
      <w:proofErr w:type="gramStart"/>
      <w:r w:rsidRPr="006B2C7D">
        <w:rPr>
          <w:sz w:val="24"/>
          <w:u w:val="single"/>
        </w:rPr>
        <w:t>et</w:t>
      </w:r>
      <w:proofErr w:type="gramEnd"/>
      <w:r w:rsidRPr="006B2C7D">
        <w:rPr>
          <w:sz w:val="24"/>
          <w:u w:val="single"/>
        </w:rPr>
        <w:t>. seq.</w:t>
      </w:r>
    </w:p>
    <w:p w:rsidR="009F551A" w:rsidRPr="006B2C7D" w:rsidRDefault="009F551A">
      <w:pPr>
        <w:spacing w:line="140" w:lineRule="exact"/>
        <w:jc w:val="center"/>
        <w:rPr>
          <w:sz w:val="24"/>
        </w:rPr>
      </w:pPr>
      <w:r w:rsidRPr="006B2C7D">
        <w:rPr>
          <w:sz w:val="24"/>
        </w:rPr>
        <w:t xml:space="preserve"> </w:t>
      </w:r>
    </w:p>
    <w:p w:rsidR="009F551A" w:rsidRPr="006B2C7D" w:rsidRDefault="009F551A">
      <w:pPr>
        <w:ind w:left="720" w:hanging="360"/>
        <w:jc w:val="both"/>
        <w:rPr>
          <w:sz w:val="24"/>
        </w:rPr>
      </w:pPr>
      <w:r w:rsidRPr="006B2C7D">
        <w:rPr>
          <w:sz w:val="24"/>
        </w:rPr>
        <w:t>j.</w:t>
      </w:r>
      <w:r w:rsidRPr="006B2C7D">
        <w:rPr>
          <w:sz w:val="24"/>
        </w:rPr>
        <w:tab/>
        <w:t>Historical and Archaeological Data Preservation Act, P. L. 93-291, 16 USC 2469,</w:t>
      </w:r>
      <w:r w:rsidRPr="006B2C7D">
        <w:rPr>
          <w:sz w:val="24"/>
          <w:u w:val="single"/>
        </w:rPr>
        <w:t xml:space="preserve"> </w:t>
      </w:r>
      <w:proofErr w:type="gramStart"/>
      <w:r w:rsidRPr="006B2C7D">
        <w:rPr>
          <w:sz w:val="24"/>
          <w:u w:val="single"/>
        </w:rPr>
        <w:t>et</w:t>
      </w:r>
      <w:proofErr w:type="gramEnd"/>
      <w:r w:rsidRPr="006B2C7D">
        <w:rPr>
          <w:sz w:val="24"/>
          <w:u w:val="single"/>
        </w:rPr>
        <w:t>. seq</w:t>
      </w:r>
      <w:r w:rsidRPr="006B2C7D">
        <w:rPr>
          <w:sz w:val="24"/>
        </w:rPr>
        <w:t>.</w:t>
      </w:r>
    </w:p>
    <w:p w:rsidR="009F551A" w:rsidRPr="006B2C7D" w:rsidRDefault="009F551A">
      <w:pPr>
        <w:ind w:left="720" w:hanging="360"/>
        <w:jc w:val="both"/>
        <w:rPr>
          <w:sz w:val="24"/>
        </w:rPr>
      </w:pPr>
      <w:r w:rsidRPr="006B2C7D">
        <w:rPr>
          <w:sz w:val="24"/>
        </w:rPr>
        <w:t>k.</w:t>
      </w:r>
      <w:r w:rsidRPr="006B2C7D">
        <w:rPr>
          <w:sz w:val="24"/>
        </w:rPr>
        <w:tab/>
        <w:t xml:space="preserve">Coastal Zone Management Act of 1979, P. L. 92-583, 16 USC 1451, </w:t>
      </w:r>
      <w:proofErr w:type="gramStart"/>
      <w:r w:rsidRPr="006B2C7D">
        <w:rPr>
          <w:sz w:val="24"/>
          <w:u w:val="single"/>
        </w:rPr>
        <w:t>et</w:t>
      </w:r>
      <w:proofErr w:type="gramEnd"/>
      <w:r w:rsidRPr="006B2C7D">
        <w:rPr>
          <w:sz w:val="24"/>
          <w:u w:val="single"/>
        </w:rPr>
        <w:t xml:space="preserve">. </w:t>
      </w:r>
      <w:proofErr w:type="gramStart"/>
      <w:r w:rsidRPr="006B2C7D">
        <w:rPr>
          <w:sz w:val="24"/>
          <w:u w:val="single"/>
        </w:rPr>
        <w:t>seq</w:t>
      </w:r>
      <w:proofErr w:type="gramEnd"/>
      <w:r w:rsidRPr="006B2C7D">
        <w:rPr>
          <w:sz w:val="24"/>
        </w:rPr>
        <w:t>. and the Coastal Barrier Resources Act of 1982 (P.L. 97-348)</w:t>
      </w:r>
    </w:p>
    <w:p w:rsidR="009F551A" w:rsidRPr="006B2C7D" w:rsidRDefault="009F551A">
      <w:pPr>
        <w:ind w:left="720" w:hanging="360"/>
        <w:jc w:val="both"/>
        <w:rPr>
          <w:sz w:val="24"/>
        </w:rPr>
      </w:pPr>
      <w:r w:rsidRPr="006B2C7D">
        <w:rPr>
          <w:sz w:val="24"/>
        </w:rPr>
        <w:t>l.</w:t>
      </w:r>
      <w:r w:rsidRPr="006B2C7D">
        <w:rPr>
          <w:sz w:val="24"/>
        </w:rPr>
        <w:tab/>
        <w:t xml:space="preserve">Animal Welfare Act of 1970, P. L. 91-579, 7 USC 2131, </w:t>
      </w:r>
      <w:proofErr w:type="gramStart"/>
      <w:r w:rsidRPr="006B2C7D">
        <w:rPr>
          <w:sz w:val="24"/>
          <w:u w:val="single"/>
        </w:rPr>
        <w:t>et</w:t>
      </w:r>
      <w:proofErr w:type="gramEnd"/>
      <w:r w:rsidRPr="006B2C7D">
        <w:rPr>
          <w:sz w:val="24"/>
          <w:u w:val="single"/>
        </w:rPr>
        <w:t>. seq</w:t>
      </w:r>
      <w:r w:rsidRPr="006B2C7D">
        <w:rPr>
          <w:sz w:val="24"/>
        </w:rPr>
        <w:t>.</w:t>
      </w:r>
    </w:p>
    <w:p w:rsidR="009F551A" w:rsidRPr="006B2C7D" w:rsidRDefault="009F551A">
      <w:pPr>
        <w:ind w:left="720" w:hanging="360"/>
        <w:jc w:val="both"/>
        <w:rPr>
          <w:sz w:val="24"/>
        </w:rPr>
      </w:pPr>
      <w:r w:rsidRPr="006B2C7D">
        <w:rPr>
          <w:sz w:val="24"/>
        </w:rPr>
        <w:t>m.</w:t>
      </w:r>
      <w:r w:rsidRPr="006B2C7D">
        <w:rPr>
          <w:sz w:val="24"/>
        </w:rPr>
        <w:tab/>
        <w:t xml:space="preserve">Impoundment Control Act of 1974, P. L. 93-344, 31 USC 1401, </w:t>
      </w:r>
      <w:proofErr w:type="gramStart"/>
      <w:r w:rsidRPr="006B2C7D">
        <w:rPr>
          <w:sz w:val="24"/>
          <w:u w:val="single"/>
        </w:rPr>
        <w:t>et</w:t>
      </w:r>
      <w:proofErr w:type="gramEnd"/>
      <w:r w:rsidRPr="006B2C7D">
        <w:rPr>
          <w:sz w:val="24"/>
          <w:u w:val="single"/>
        </w:rPr>
        <w:t>. seq</w:t>
      </w:r>
      <w:r w:rsidRPr="006B2C7D">
        <w:rPr>
          <w:sz w:val="24"/>
        </w:rPr>
        <w:t>.</w:t>
      </w:r>
    </w:p>
    <w:p w:rsidR="009F551A" w:rsidRPr="006B2C7D" w:rsidRDefault="009F551A">
      <w:pPr>
        <w:ind w:left="720" w:hanging="360"/>
        <w:jc w:val="both"/>
        <w:rPr>
          <w:sz w:val="24"/>
        </w:rPr>
      </w:pPr>
      <w:proofErr w:type="gramStart"/>
      <w:r w:rsidRPr="006B2C7D">
        <w:rPr>
          <w:sz w:val="24"/>
        </w:rPr>
        <w:t>n</w:t>
      </w:r>
      <w:proofErr w:type="gramEnd"/>
      <w:r w:rsidRPr="006B2C7D">
        <w:rPr>
          <w:sz w:val="24"/>
        </w:rPr>
        <w:t>.</w:t>
      </w:r>
      <w:r w:rsidRPr="006B2C7D">
        <w:rPr>
          <w:sz w:val="24"/>
        </w:rPr>
        <w:tab/>
        <w:t>The Fair Labor Standards Act , if applicable.</w:t>
      </w:r>
    </w:p>
    <w:p w:rsidR="009F551A" w:rsidRPr="006B2C7D" w:rsidRDefault="009F551A">
      <w:pPr>
        <w:jc w:val="both"/>
        <w:rPr>
          <w:sz w:val="24"/>
        </w:rPr>
      </w:pPr>
    </w:p>
    <w:p w:rsidR="009F551A" w:rsidRPr="006B2C7D" w:rsidRDefault="009F551A">
      <w:pPr>
        <w:ind w:left="360" w:hanging="360"/>
        <w:jc w:val="both"/>
        <w:rPr>
          <w:sz w:val="24"/>
        </w:rPr>
      </w:pPr>
      <w:r w:rsidRPr="006B2C7D">
        <w:rPr>
          <w:sz w:val="24"/>
        </w:rPr>
        <w:t>6.</w:t>
      </w:r>
      <w:r w:rsidRPr="006B2C7D">
        <w:rPr>
          <w:sz w:val="24"/>
        </w:rPr>
        <w:tab/>
      </w:r>
      <w:r w:rsidRPr="006B2C7D">
        <w:rPr>
          <w:sz w:val="24"/>
          <w:u w:val="single"/>
        </w:rPr>
        <w:t>POLITICAL ACTIVITY</w:t>
      </w:r>
      <w:r w:rsidRPr="006B2C7D">
        <w:rPr>
          <w:sz w:val="24"/>
        </w:rPr>
        <w:t xml:space="preserve">:  The restrictions of the Hatch Act, Pub. L. 93-433, 5 USC Chapter III, (as amended), concerning the political activity of government employees are applicable to applicant staff members and other state and local government employees whose principal employment is in connection with activities financed, in whole or in part, by grants.  Under a 1975 amendment to the Hatch Act, such state and local government employees may take an active part in political management and campaigns except they may not be candidates for office.  </w:t>
      </w:r>
    </w:p>
    <w:p w:rsidR="009F551A" w:rsidRPr="006B2C7D" w:rsidRDefault="009F551A">
      <w:pPr>
        <w:ind w:left="360" w:hanging="360"/>
        <w:jc w:val="both"/>
        <w:rPr>
          <w:sz w:val="24"/>
        </w:rPr>
      </w:pPr>
    </w:p>
    <w:p w:rsidR="009F551A" w:rsidRPr="006B2C7D" w:rsidRDefault="009F551A">
      <w:pPr>
        <w:ind w:left="360" w:hanging="360"/>
        <w:jc w:val="both"/>
        <w:rPr>
          <w:sz w:val="24"/>
        </w:rPr>
      </w:pPr>
      <w:r w:rsidRPr="006B2C7D">
        <w:rPr>
          <w:sz w:val="24"/>
        </w:rPr>
        <w:t>7.</w:t>
      </w:r>
      <w:r w:rsidRPr="006B2C7D">
        <w:rPr>
          <w:sz w:val="24"/>
        </w:rPr>
        <w:tab/>
      </w:r>
      <w:r w:rsidRPr="006B2C7D">
        <w:rPr>
          <w:sz w:val="24"/>
          <w:u w:val="single"/>
        </w:rPr>
        <w:t>DISCRIMINATION PROHIBITED</w:t>
      </w:r>
      <w:r w:rsidRPr="006B2C7D">
        <w:rPr>
          <w:sz w:val="24"/>
        </w:rPr>
        <w:t xml:space="preserve">:  No person shall, on the grounds of  race, religion, color, national origin, sex, or handicap be  excluded from participation in, be denied the benefits or be  otherwise subjected to discrimination under or denied employment in  connection with, grants awarded pursuant to the Justice Assistance  Act of 1984, and the implementing regulations 28 CFR Part 42,  Subparts C, D, E, and G, or any project, program, activity, or  </w:t>
      </w:r>
      <w:proofErr w:type="spellStart"/>
      <w:r w:rsidRPr="006B2C7D">
        <w:rPr>
          <w:sz w:val="24"/>
        </w:rPr>
        <w:t>subgrant</w:t>
      </w:r>
      <w:proofErr w:type="spellEnd"/>
      <w:r w:rsidRPr="006B2C7D">
        <w:rPr>
          <w:sz w:val="24"/>
        </w:rPr>
        <w:t xml:space="preserve"> supported or benefiting from the grant.  The applicant must comply with the provisions and requirements of Title VI of the Civil Rights Act of 1964 and </w:t>
      </w:r>
      <w:proofErr w:type="gramStart"/>
      <w:r w:rsidRPr="006B2C7D">
        <w:rPr>
          <w:sz w:val="24"/>
        </w:rPr>
        <w:t>its</w:t>
      </w:r>
      <w:proofErr w:type="gramEnd"/>
      <w:r w:rsidRPr="006B2C7D">
        <w:rPr>
          <w:sz w:val="24"/>
        </w:rPr>
        <w:t xml:space="preserve"> implementing regulations 28 CFR 41.101 </w:t>
      </w:r>
      <w:r w:rsidRPr="006B2C7D">
        <w:rPr>
          <w:sz w:val="24"/>
          <w:u w:val="single"/>
        </w:rPr>
        <w:t xml:space="preserve">et. </w:t>
      </w:r>
      <w:proofErr w:type="gramStart"/>
      <w:r w:rsidRPr="006B2C7D">
        <w:rPr>
          <w:sz w:val="24"/>
          <w:u w:val="single"/>
        </w:rPr>
        <w:t>seq</w:t>
      </w:r>
      <w:r w:rsidRPr="006B2C7D">
        <w:rPr>
          <w:sz w:val="24"/>
        </w:rPr>
        <w:t>..</w:t>
      </w:r>
      <w:proofErr w:type="gramEnd"/>
      <w:r w:rsidRPr="006B2C7D">
        <w:rPr>
          <w:sz w:val="24"/>
        </w:rPr>
        <w:t xml:space="preserve">  The applicant must further comply with Section 504 of the Rehabilitation Act of 1973, as amended, and its implementing regulations; the Age Discrimination Act of 1973, as amended, and its implementing regulations and Title IX of the Education Amendments of 1972; Title II of the Americans with Disabilities Act (ADA)(1990); (42 USC. 12131-12134 &amp; 28 CFR 35)</w:t>
      </w:r>
    </w:p>
    <w:p w:rsidR="009F551A" w:rsidRPr="006B2C7D" w:rsidRDefault="009F551A">
      <w:pPr>
        <w:ind w:left="360" w:hanging="360"/>
        <w:jc w:val="both"/>
        <w:rPr>
          <w:sz w:val="24"/>
        </w:rPr>
      </w:pPr>
      <w:r w:rsidRPr="006B2C7D">
        <w:rPr>
          <w:sz w:val="24"/>
        </w:rPr>
        <w:t xml:space="preserve"> </w:t>
      </w:r>
    </w:p>
    <w:p w:rsidR="009F551A" w:rsidRPr="006B2C7D" w:rsidRDefault="009F551A">
      <w:pPr>
        <w:ind w:left="360" w:hanging="360"/>
        <w:jc w:val="both"/>
        <w:rPr>
          <w:sz w:val="24"/>
        </w:rPr>
      </w:pPr>
      <w:r w:rsidRPr="006B2C7D">
        <w:rPr>
          <w:sz w:val="24"/>
        </w:rPr>
        <w:t>8.</w:t>
      </w:r>
      <w:r w:rsidRPr="006B2C7D">
        <w:rPr>
          <w:sz w:val="24"/>
        </w:rPr>
        <w:tab/>
      </w:r>
      <w:r w:rsidRPr="006B2C7D">
        <w:rPr>
          <w:sz w:val="24"/>
          <w:u w:val="single"/>
        </w:rPr>
        <w:t xml:space="preserve">EQUAL EMPLOYMENT </w:t>
      </w:r>
      <w:smartTag w:uri="urn:schemas-microsoft-com:office:smarttags" w:element="place">
        <w:r w:rsidRPr="006B2C7D">
          <w:rPr>
            <w:sz w:val="24"/>
            <w:u w:val="single"/>
          </w:rPr>
          <w:t>OPPORTUNITY</w:t>
        </w:r>
      </w:smartTag>
      <w:r w:rsidRPr="006B2C7D">
        <w:rPr>
          <w:sz w:val="24"/>
          <w:u w:val="single"/>
        </w:rPr>
        <w:t xml:space="preserve"> PROGRAM</w:t>
      </w:r>
      <w:r w:rsidRPr="006B2C7D">
        <w:rPr>
          <w:sz w:val="24"/>
        </w:rPr>
        <w:t xml:space="preserve">:  The applicant certifies that it has executed and has on file, an Equal Employment Opportunity Program which conforms </w:t>
      </w:r>
      <w:proofErr w:type="gramStart"/>
      <w:r w:rsidRPr="006B2C7D">
        <w:rPr>
          <w:sz w:val="24"/>
        </w:rPr>
        <w:t>with</w:t>
      </w:r>
      <w:proofErr w:type="gramEnd"/>
      <w:r w:rsidRPr="006B2C7D">
        <w:rPr>
          <w:sz w:val="24"/>
        </w:rPr>
        <w:t xml:space="preserve"> the provisions of 28 CFR Section 42.301, et. seq., Subpart E, or that in conformity with the foregoing regulation, no Equal Employment Opportunity Program is required.</w:t>
      </w:r>
    </w:p>
    <w:p w:rsidR="009F551A" w:rsidRPr="006B2C7D" w:rsidRDefault="009F551A">
      <w:pPr>
        <w:ind w:left="360" w:hanging="360"/>
        <w:jc w:val="both"/>
        <w:rPr>
          <w:sz w:val="24"/>
        </w:rPr>
      </w:pPr>
    </w:p>
    <w:p w:rsidR="006A5565" w:rsidRPr="006B2C7D" w:rsidRDefault="009F551A" w:rsidP="00D6016D">
      <w:pPr>
        <w:ind w:left="360" w:hanging="360"/>
        <w:jc w:val="both"/>
        <w:rPr>
          <w:sz w:val="24"/>
        </w:rPr>
      </w:pPr>
      <w:r w:rsidRPr="006B2C7D">
        <w:rPr>
          <w:sz w:val="24"/>
        </w:rPr>
        <w:tab/>
        <w:t xml:space="preserve">An applicant organization having 50 or more employees and receiving amounts of $500,000 or more, or grants which in the aggregate exceed $500,000 or more, in any fiscal year must submit a copy of its Equal Employment Opportunity Plan (EEOP) to the DCJS for review.  For continuation grant funding that exceeds this amount in any </w:t>
      </w:r>
      <w:r w:rsidRPr="006B2C7D">
        <w:rPr>
          <w:sz w:val="24"/>
        </w:rPr>
        <w:lastRenderedPageBreak/>
        <w:t>fiscal year, the applicant must submit a statistical update from the previous year</w:t>
      </w:r>
      <w:r w:rsidR="006A5565" w:rsidRPr="006B2C7D">
        <w:rPr>
          <w:sz w:val="24"/>
        </w:rPr>
        <w:t>’</w:t>
      </w:r>
      <w:r w:rsidRPr="006B2C7D">
        <w:rPr>
          <w:sz w:val="24"/>
        </w:rPr>
        <w:t>s plan.</w:t>
      </w:r>
    </w:p>
    <w:p w:rsidR="009F551A" w:rsidRPr="006B2C7D" w:rsidRDefault="009F551A" w:rsidP="006A5565">
      <w:pPr>
        <w:jc w:val="both"/>
        <w:rPr>
          <w:sz w:val="24"/>
        </w:rPr>
      </w:pPr>
    </w:p>
    <w:p w:rsidR="009F551A" w:rsidRPr="006B2C7D" w:rsidRDefault="009F551A">
      <w:pPr>
        <w:ind w:left="360" w:hanging="360"/>
        <w:jc w:val="both"/>
        <w:rPr>
          <w:sz w:val="24"/>
        </w:rPr>
      </w:pPr>
      <w:r w:rsidRPr="006B2C7D">
        <w:rPr>
          <w:sz w:val="24"/>
        </w:rPr>
        <w:t>9.</w:t>
      </w:r>
      <w:r w:rsidRPr="006B2C7D">
        <w:rPr>
          <w:sz w:val="24"/>
        </w:rPr>
        <w:tab/>
        <w:t>The applicant assures that in the event a federal or state court or federal or state administrative agency makes a finding of discrimination after a due process hearing on the grounds of race, color, religion, national origin or sex against a recipient of funds, the recipient will forward a copy of the finding to the DCJS.</w:t>
      </w:r>
    </w:p>
    <w:p w:rsidR="009F551A" w:rsidRPr="006B2C7D" w:rsidRDefault="009F551A">
      <w:pPr>
        <w:jc w:val="both"/>
        <w:rPr>
          <w:sz w:val="24"/>
        </w:rPr>
      </w:pPr>
      <w:r w:rsidRPr="006B2C7D">
        <w:rPr>
          <w:sz w:val="24"/>
        </w:rPr>
        <w:t xml:space="preserve"> </w:t>
      </w:r>
    </w:p>
    <w:p w:rsidR="009F551A" w:rsidRPr="006B2C7D" w:rsidRDefault="009F551A">
      <w:pPr>
        <w:ind w:left="360" w:hanging="360"/>
        <w:jc w:val="both"/>
        <w:rPr>
          <w:sz w:val="24"/>
        </w:rPr>
      </w:pPr>
      <w:r w:rsidRPr="006B2C7D">
        <w:rPr>
          <w:sz w:val="24"/>
        </w:rPr>
        <w:t>10.</w:t>
      </w:r>
      <w:r w:rsidRPr="006B2C7D">
        <w:rPr>
          <w:sz w:val="24"/>
        </w:rPr>
        <w:tab/>
      </w:r>
      <w:r w:rsidRPr="006B2C7D">
        <w:rPr>
          <w:sz w:val="24"/>
          <w:u w:val="single"/>
        </w:rPr>
        <w:t>RELEASE OF INFORMATION</w:t>
      </w:r>
      <w:r w:rsidRPr="006B2C7D">
        <w:rPr>
          <w:sz w:val="24"/>
        </w:rPr>
        <w:t>:  All records, papers and other documents kept by recipients of DCJS funds, and their contractors, relating to the receipt and disposition of such funds, are required to be made available to the DCJS.  These records and other documents submitted to DCJS and its applicants pursuant to other provisions of the Act, including plans and applications for funds, are required to be made available to DCJS under the terms and conditions of the Federal Freedom of Information Act, 5 USC 552.</w:t>
      </w:r>
    </w:p>
    <w:p w:rsidR="009F551A" w:rsidRPr="006B2C7D" w:rsidRDefault="009F551A">
      <w:pPr>
        <w:ind w:left="360" w:hanging="360"/>
        <w:jc w:val="both"/>
        <w:rPr>
          <w:sz w:val="24"/>
        </w:rPr>
      </w:pPr>
    </w:p>
    <w:p w:rsidR="009F551A" w:rsidRPr="006B2C7D" w:rsidRDefault="009F551A">
      <w:pPr>
        <w:ind w:left="360" w:hanging="360"/>
        <w:jc w:val="both"/>
        <w:rPr>
          <w:sz w:val="24"/>
        </w:rPr>
      </w:pPr>
      <w:r w:rsidRPr="006B2C7D">
        <w:rPr>
          <w:sz w:val="24"/>
        </w:rPr>
        <w:t>11.</w:t>
      </w:r>
      <w:r w:rsidRPr="006B2C7D">
        <w:rPr>
          <w:sz w:val="24"/>
        </w:rPr>
        <w:tab/>
      </w:r>
      <w:r w:rsidRPr="006B2C7D">
        <w:rPr>
          <w:sz w:val="24"/>
          <w:u w:val="single"/>
        </w:rPr>
        <w:t>INFORMATION SYSTEMS</w:t>
      </w:r>
      <w:r w:rsidRPr="006B2C7D">
        <w:rPr>
          <w:sz w:val="24"/>
        </w:rPr>
        <w:t>.  With respect to programs related to criminal justice information systems, the applicant agrees to comply with the provisions of 28 CFR, Part 20 governing the protection of the individual privacy and the insurance of the integrity and accuracy of data collection.  The applicant further agrees:</w:t>
      </w:r>
    </w:p>
    <w:p w:rsidR="009F551A" w:rsidRPr="006B2C7D" w:rsidRDefault="009F551A">
      <w:pPr>
        <w:jc w:val="both"/>
        <w:rPr>
          <w:sz w:val="24"/>
        </w:rPr>
      </w:pPr>
    </w:p>
    <w:p w:rsidR="009F551A" w:rsidRPr="006B2C7D" w:rsidRDefault="009F551A">
      <w:pPr>
        <w:ind w:left="720" w:hanging="360"/>
        <w:jc w:val="both"/>
        <w:rPr>
          <w:sz w:val="24"/>
        </w:rPr>
      </w:pPr>
      <w:r w:rsidRPr="006B2C7D">
        <w:rPr>
          <w:sz w:val="24"/>
        </w:rPr>
        <w:t>a.</w:t>
      </w:r>
      <w:r w:rsidRPr="006B2C7D">
        <w:rPr>
          <w:sz w:val="24"/>
        </w:rPr>
        <w:tab/>
        <w:t>That all computer programs (software) developed with funds provided by this grant will be made available to the DCJS for transfer to authorized users in the criminal justice community without cost other than that directly associated with the transfer.  The software will be documented in sufficient detail to enable potential users to adapt the system, or portions thereof, to usage on a computer of similar size and configuration.</w:t>
      </w:r>
    </w:p>
    <w:p w:rsidR="009F551A" w:rsidRPr="006B2C7D" w:rsidRDefault="009F551A">
      <w:pPr>
        <w:ind w:left="720" w:hanging="360"/>
        <w:jc w:val="both"/>
        <w:rPr>
          <w:sz w:val="24"/>
        </w:rPr>
      </w:pPr>
    </w:p>
    <w:p w:rsidR="009F551A" w:rsidRPr="006B2C7D" w:rsidRDefault="009F551A">
      <w:pPr>
        <w:ind w:left="720" w:hanging="360"/>
        <w:jc w:val="both"/>
        <w:rPr>
          <w:sz w:val="24"/>
        </w:rPr>
      </w:pPr>
      <w:r w:rsidRPr="006B2C7D">
        <w:rPr>
          <w:sz w:val="24"/>
        </w:rPr>
        <w:t>b.</w:t>
      </w:r>
      <w:r w:rsidRPr="006B2C7D">
        <w:rPr>
          <w:sz w:val="24"/>
        </w:rPr>
        <w:tab/>
        <w:t>To provide a complete copy of the computer programs and documentation, upon request, to the DCJS.  The documentation will include but not be limited to system description, operating instruction, program maintenance instructions, input forms, file descriptions, report formats, program listings, and flow charts for the system and programs.</w:t>
      </w:r>
    </w:p>
    <w:p w:rsidR="009F551A" w:rsidRPr="006B2C7D" w:rsidRDefault="009F551A">
      <w:pPr>
        <w:ind w:left="720" w:hanging="360"/>
        <w:jc w:val="both"/>
        <w:rPr>
          <w:sz w:val="24"/>
        </w:rPr>
      </w:pPr>
      <w:r w:rsidRPr="006B2C7D">
        <w:rPr>
          <w:sz w:val="24"/>
        </w:rPr>
        <w:t xml:space="preserve"> </w:t>
      </w:r>
    </w:p>
    <w:p w:rsidR="009F551A" w:rsidRPr="006B2C7D" w:rsidRDefault="009F551A">
      <w:pPr>
        <w:ind w:left="720" w:hanging="360"/>
        <w:jc w:val="both"/>
        <w:rPr>
          <w:sz w:val="24"/>
        </w:rPr>
      </w:pPr>
      <w:r w:rsidRPr="006B2C7D">
        <w:rPr>
          <w:sz w:val="24"/>
        </w:rPr>
        <w:t>c.</w:t>
      </w:r>
      <w:r w:rsidRPr="006B2C7D">
        <w:rPr>
          <w:sz w:val="24"/>
        </w:rPr>
        <w:tab/>
        <w:t xml:space="preserve">That whenever possible all application programs will be written in standardized programming languages (i.e., ANSI, COBOL, FORTRAN, BASIC, etc.) for use on general operating systems (e.g., DOS, CP/M, UNIX, etc.) that can be utilized on at least three different manufacturer's computers of similar size and configuration. </w:t>
      </w:r>
    </w:p>
    <w:p w:rsidR="009F551A" w:rsidRPr="006B2C7D" w:rsidRDefault="009F551A">
      <w:pPr>
        <w:ind w:left="720" w:hanging="360"/>
        <w:jc w:val="both"/>
        <w:rPr>
          <w:sz w:val="24"/>
        </w:rPr>
      </w:pPr>
    </w:p>
    <w:p w:rsidR="009F551A" w:rsidRPr="006B2C7D" w:rsidRDefault="009F551A">
      <w:pPr>
        <w:ind w:left="720" w:hanging="360"/>
        <w:jc w:val="both"/>
        <w:rPr>
          <w:sz w:val="24"/>
        </w:rPr>
      </w:pPr>
      <w:r w:rsidRPr="006B2C7D">
        <w:rPr>
          <w:sz w:val="24"/>
        </w:rPr>
        <w:t>d.</w:t>
      </w:r>
      <w:r w:rsidRPr="006B2C7D">
        <w:rPr>
          <w:sz w:val="24"/>
        </w:rPr>
        <w:tab/>
        <w:t>To avail itself, to the maximum extent possible, of computer software already produced and available without charge.  The Department of Criminal Justice Services should be contacted to determine availability of software prior to any development effort.</w:t>
      </w:r>
    </w:p>
    <w:p w:rsidR="009F551A" w:rsidRPr="006B2C7D" w:rsidRDefault="009F551A">
      <w:pPr>
        <w:jc w:val="both"/>
        <w:rPr>
          <w:sz w:val="24"/>
        </w:rPr>
      </w:pPr>
      <w:r w:rsidRPr="006B2C7D">
        <w:rPr>
          <w:sz w:val="24"/>
        </w:rPr>
        <w:t xml:space="preserve"> </w:t>
      </w:r>
    </w:p>
    <w:p w:rsidR="009F551A" w:rsidRPr="006B2C7D" w:rsidRDefault="009F551A">
      <w:pPr>
        <w:ind w:left="360" w:hanging="360"/>
        <w:jc w:val="both"/>
        <w:rPr>
          <w:sz w:val="24"/>
        </w:rPr>
      </w:pPr>
      <w:r w:rsidRPr="006B2C7D">
        <w:rPr>
          <w:sz w:val="24"/>
        </w:rPr>
        <w:lastRenderedPageBreak/>
        <w:t>12.</w:t>
      </w:r>
      <w:r w:rsidRPr="006B2C7D">
        <w:rPr>
          <w:sz w:val="24"/>
        </w:rPr>
        <w:tab/>
      </w:r>
      <w:r w:rsidRPr="006B2C7D">
        <w:rPr>
          <w:sz w:val="24"/>
          <w:u w:val="single"/>
        </w:rPr>
        <w:t>CONFIDENTIALITY OF RESEARCH INFORMATION</w:t>
      </w:r>
      <w:r w:rsidRPr="006B2C7D">
        <w:rPr>
          <w:sz w:val="24"/>
        </w:rPr>
        <w:t>:  Research information identifiable to an individual, which was obtained though a project funded wholly or in part with DCJS grant funds, shall remain confidential and copies of such information shall be immune from legal process, and shall not, without the consent of the person furnishing such information, be admitted as evidence or used for any purpose in any action, suit, or other judicial or administrative proceeding (28 CFR Part 22).</w:t>
      </w:r>
    </w:p>
    <w:p w:rsidR="009F551A" w:rsidRPr="006B2C7D" w:rsidRDefault="009F551A">
      <w:pPr>
        <w:ind w:left="360" w:hanging="360"/>
        <w:jc w:val="both"/>
        <w:rPr>
          <w:sz w:val="24"/>
        </w:rPr>
      </w:pPr>
      <w:r w:rsidRPr="006B2C7D">
        <w:rPr>
          <w:sz w:val="24"/>
        </w:rPr>
        <w:t xml:space="preserve"> </w:t>
      </w:r>
    </w:p>
    <w:p w:rsidR="009F551A" w:rsidRPr="006B2C7D" w:rsidRDefault="009F551A">
      <w:pPr>
        <w:ind w:left="360" w:hanging="360"/>
        <w:jc w:val="both"/>
        <w:rPr>
          <w:sz w:val="24"/>
        </w:rPr>
      </w:pPr>
      <w:r w:rsidRPr="006B2C7D">
        <w:rPr>
          <w:sz w:val="24"/>
        </w:rPr>
        <w:t>13.</w:t>
      </w:r>
      <w:r w:rsidRPr="006B2C7D">
        <w:rPr>
          <w:sz w:val="24"/>
        </w:rPr>
        <w:tab/>
      </w:r>
      <w:r w:rsidRPr="006B2C7D">
        <w:rPr>
          <w:sz w:val="24"/>
          <w:u w:val="single"/>
        </w:rPr>
        <w:t>CRIMINAL INTELLIGENCE SYSTEMS OPERATING POLICIES</w:t>
      </w:r>
      <w:r w:rsidRPr="006B2C7D">
        <w:rPr>
          <w:sz w:val="24"/>
        </w:rPr>
        <w:t>:  The applicant agrees to be in compliance with all policies as expressed under the Code of Federal Regulations, 28 CFR 23, concerning the operation of criminal intelligence systems supported with grant funds.</w:t>
      </w:r>
    </w:p>
    <w:p w:rsidR="009F551A" w:rsidRPr="006B2C7D" w:rsidRDefault="009F551A">
      <w:pPr>
        <w:jc w:val="both"/>
        <w:rPr>
          <w:sz w:val="24"/>
        </w:rPr>
      </w:pPr>
    </w:p>
    <w:p w:rsidR="009F551A" w:rsidRPr="006B2C7D" w:rsidRDefault="009F551A">
      <w:pPr>
        <w:ind w:left="360" w:hanging="360"/>
        <w:jc w:val="both"/>
        <w:rPr>
          <w:sz w:val="24"/>
        </w:rPr>
      </w:pPr>
      <w:r w:rsidRPr="006B2C7D">
        <w:rPr>
          <w:sz w:val="24"/>
        </w:rPr>
        <w:t>14.</w:t>
      </w:r>
      <w:r w:rsidRPr="006B2C7D">
        <w:rPr>
          <w:sz w:val="24"/>
        </w:rPr>
        <w:tab/>
      </w:r>
      <w:r w:rsidRPr="006B2C7D">
        <w:rPr>
          <w:sz w:val="24"/>
          <w:u w:val="single"/>
        </w:rPr>
        <w:t>COPYRIGHT</w:t>
      </w:r>
      <w:r w:rsidRPr="006B2C7D">
        <w:rPr>
          <w:sz w:val="24"/>
        </w:rPr>
        <w:t xml:space="preserve">:  </w:t>
      </w:r>
      <w:r w:rsidR="00D6016D" w:rsidRPr="006B2C7D">
        <w:rPr>
          <w:sz w:val="24"/>
        </w:rPr>
        <w:t>Except as otherwise provided in the conditions of the award, the author is free to arrange for copyright without approval when publication or similar materials are developed from work under a DCJS supported project.  Any such copyright materials shall be subject to the DCJS's right to reproduce them, translate them, publish them, use and dispose of them, and to authorize others to do so for government purposes.  In addition, communications in primary scientific or professional journals publishing initial reports or research or other activities and supported in whole or in part by the DCJS project funds may be copyrighted by the journal with the understanding that individuals are authorized to make or have made by any means available to them, without regard to the copyright of the journal, and without royalty, a single copy of any such article for their own use.  Copyrights developed by state employees during work hours, or within the scope of their employment, or when using state-owned or state-controlled facilities, vest in the Commonwealth.</w:t>
      </w:r>
      <w:r w:rsidR="00D6016D" w:rsidRPr="006B2C7D">
        <w:rPr>
          <w:sz w:val="24"/>
        </w:rPr>
        <w:tab/>
      </w:r>
    </w:p>
    <w:p w:rsidR="00D6016D" w:rsidRPr="006B2C7D" w:rsidRDefault="00D6016D">
      <w:pPr>
        <w:ind w:left="360" w:hanging="360"/>
        <w:jc w:val="both"/>
        <w:rPr>
          <w:sz w:val="24"/>
        </w:rPr>
      </w:pPr>
    </w:p>
    <w:p w:rsidR="009F551A" w:rsidRPr="006B2C7D" w:rsidRDefault="009F551A">
      <w:pPr>
        <w:ind w:left="360" w:hanging="360"/>
        <w:jc w:val="both"/>
        <w:rPr>
          <w:sz w:val="24"/>
        </w:rPr>
      </w:pPr>
      <w:r w:rsidRPr="006B2C7D">
        <w:rPr>
          <w:sz w:val="24"/>
        </w:rPr>
        <w:t>15.</w:t>
      </w:r>
      <w:r w:rsidRPr="006B2C7D">
        <w:rPr>
          <w:sz w:val="24"/>
        </w:rPr>
        <w:tab/>
      </w:r>
      <w:r w:rsidRPr="006B2C7D">
        <w:rPr>
          <w:sz w:val="24"/>
          <w:u w:val="single"/>
        </w:rPr>
        <w:t>PATENTS</w:t>
      </w:r>
      <w:r w:rsidRPr="006B2C7D">
        <w:rPr>
          <w:sz w:val="24"/>
        </w:rPr>
        <w:t>:  If any discovery or invention arises or is developed in course of or as a result of work performed under this grant, the applicant shall refer the discovery or invention to DCJS.  The applicant hereby agrees that determination of rights to inventions made under this grant shall be made by the DCJS or its duly authorized official representative, who shall have the sole and exclusive powers to determine whether or not and where patent application should be filed and to determine the disposition of all rights in such inventions, including title which may issue thereon.  The determination of the DCJS, or its duly authorized representative shall be accepted as final.  In addition, the applicant hereby agrees and otherwise recognizes that the DCJS shall acquire at least an irrevocable non-exclusive royalty-free license to practice and have practiced throughout the world for governmental purposes any invention made in the course of or under this grant.  The grant shall include provisions appropriate of effectuating the purpose of this condition in all contract of employment, consultant's agreements, or contracts.</w:t>
      </w:r>
    </w:p>
    <w:p w:rsidR="009F551A" w:rsidRPr="006B2C7D" w:rsidRDefault="009F551A">
      <w:pPr>
        <w:ind w:left="360" w:hanging="360"/>
        <w:jc w:val="both"/>
        <w:rPr>
          <w:sz w:val="24"/>
        </w:rPr>
      </w:pPr>
    </w:p>
    <w:p w:rsidR="009F551A" w:rsidRPr="006B2C7D" w:rsidRDefault="00D6016D">
      <w:pPr>
        <w:numPr>
          <w:ilvl w:val="0"/>
          <w:numId w:val="2"/>
        </w:numPr>
        <w:jc w:val="both"/>
        <w:rPr>
          <w:sz w:val="24"/>
        </w:rPr>
      </w:pPr>
      <w:r w:rsidRPr="006B2C7D">
        <w:rPr>
          <w:sz w:val="24"/>
          <w:u w:val="single"/>
        </w:rPr>
        <w:t>SUPPLANTATION</w:t>
      </w:r>
      <w:r w:rsidRPr="006B2C7D">
        <w:rPr>
          <w:sz w:val="24"/>
        </w:rPr>
        <w:t xml:space="preserve">:  </w:t>
      </w:r>
      <w:r w:rsidR="009F551A" w:rsidRPr="006B2C7D">
        <w:rPr>
          <w:sz w:val="24"/>
        </w:rPr>
        <w:t xml:space="preserve">The applicant assures that funds made available under this grant will be used to enhance or expand services and will not be used to supplant state and local funds that would otherwise be available for crime victim services. </w:t>
      </w:r>
    </w:p>
    <w:p w:rsidR="00447BDB" w:rsidRPr="006B2C7D" w:rsidRDefault="00447BDB" w:rsidP="00447BDB">
      <w:pPr>
        <w:ind w:left="360"/>
        <w:jc w:val="both"/>
        <w:rPr>
          <w:sz w:val="24"/>
        </w:rPr>
      </w:pPr>
    </w:p>
    <w:p w:rsidR="009F551A" w:rsidRPr="006B2C7D" w:rsidRDefault="00D6016D">
      <w:pPr>
        <w:numPr>
          <w:ilvl w:val="0"/>
          <w:numId w:val="2"/>
        </w:numPr>
        <w:jc w:val="both"/>
        <w:rPr>
          <w:sz w:val="24"/>
        </w:rPr>
      </w:pPr>
      <w:r w:rsidRPr="006B2C7D">
        <w:rPr>
          <w:sz w:val="24"/>
          <w:u w:val="single"/>
        </w:rPr>
        <w:lastRenderedPageBreak/>
        <w:t>CONFIDENTIAL FUNDS</w:t>
      </w:r>
      <w:r w:rsidRPr="006B2C7D">
        <w:rPr>
          <w:sz w:val="24"/>
        </w:rPr>
        <w:t xml:space="preserve">:  </w:t>
      </w:r>
      <w:r w:rsidR="009F551A" w:rsidRPr="006B2C7D">
        <w:rPr>
          <w:sz w:val="24"/>
        </w:rPr>
        <w:t>Confidential expenditures for services, evidence and/or information must comply with the requirements stated in the Administrative Guide and Application Procedures Manual, Chapter 5, entitled Confidential Funds.</w:t>
      </w:r>
    </w:p>
    <w:p w:rsidR="009F551A" w:rsidRPr="006B2C7D" w:rsidRDefault="009F551A">
      <w:pPr>
        <w:jc w:val="both"/>
        <w:rPr>
          <w:sz w:val="24"/>
        </w:rPr>
      </w:pPr>
    </w:p>
    <w:p w:rsidR="009F551A" w:rsidRPr="006B2C7D" w:rsidRDefault="009F551A">
      <w:pPr>
        <w:ind w:left="360" w:hanging="360"/>
        <w:jc w:val="both"/>
        <w:rPr>
          <w:sz w:val="24"/>
        </w:rPr>
      </w:pPr>
      <w:r w:rsidRPr="006B2C7D">
        <w:rPr>
          <w:sz w:val="24"/>
        </w:rPr>
        <w:t>18.</w:t>
      </w:r>
      <w:r w:rsidRPr="006B2C7D">
        <w:rPr>
          <w:sz w:val="24"/>
        </w:rPr>
        <w:tab/>
      </w:r>
      <w:r w:rsidRPr="006B2C7D">
        <w:rPr>
          <w:sz w:val="24"/>
          <w:u w:val="single"/>
        </w:rPr>
        <w:t>BIO MEDICAL EXPERIMENTATION</w:t>
      </w:r>
      <w:r w:rsidRPr="006B2C7D">
        <w:rPr>
          <w:sz w:val="24"/>
        </w:rPr>
        <w:t>:  The applicant assures that no grant funds will be used for any bio-medical or behavior control experimentation on individuals or any research involving such experimentation.</w:t>
      </w:r>
    </w:p>
    <w:p w:rsidR="009F551A" w:rsidRPr="006B2C7D" w:rsidRDefault="009F551A">
      <w:pPr>
        <w:jc w:val="both"/>
        <w:rPr>
          <w:sz w:val="24"/>
        </w:rPr>
      </w:pPr>
      <w:r w:rsidRPr="006B2C7D">
        <w:rPr>
          <w:sz w:val="24"/>
        </w:rPr>
        <w:t xml:space="preserve"> </w:t>
      </w:r>
    </w:p>
    <w:p w:rsidR="00447BDB" w:rsidRPr="006B2C7D" w:rsidRDefault="00447BDB" w:rsidP="00447BDB">
      <w:pPr>
        <w:numPr>
          <w:ilvl w:val="0"/>
          <w:numId w:val="1"/>
        </w:numPr>
        <w:tabs>
          <w:tab w:val="left" w:pos="360"/>
        </w:tabs>
        <w:jc w:val="both"/>
        <w:rPr>
          <w:sz w:val="24"/>
        </w:rPr>
      </w:pPr>
      <w:r w:rsidRPr="006B2C7D">
        <w:rPr>
          <w:sz w:val="24"/>
          <w:u w:val="single"/>
        </w:rPr>
        <w:t>PUBLICATIONS</w:t>
      </w:r>
      <w:r w:rsidRPr="006B2C7D">
        <w:rPr>
          <w:sz w:val="24"/>
        </w:rPr>
        <w:t xml:space="preserve">:  Any publications (written, visual or sound) whether published at the recipients or the governments expense shall contain the following statements:  </w:t>
      </w:r>
    </w:p>
    <w:p w:rsidR="00447BDB" w:rsidRPr="006B2C7D" w:rsidRDefault="00447BDB" w:rsidP="00447BDB">
      <w:pPr>
        <w:jc w:val="both"/>
        <w:rPr>
          <w:sz w:val="24"/>
        </w:rPr>
      </w:pPr>
    </w:p>
    <w:p w:rsidR="00447BDB" w:rsidRPr="006B2C7D" w:rsidRDefault="00447BDB" w:rsidP="00447BDB">
      <w:pPr>
        <w:ind w:left="360"/>
        <w:jc w:val="both"/>
        <w:rPr>
          <w:i/>
          <w:sz w:val="24"/>
        </w:rPr>
      </w:pPr>
      <w:r w:rsidRPr="006B2C7D">
        <w:rPr>
          <w:i/>
          <w:sz w:val="24"/>
        </w:rPr>
        <w:t>This project was supported in whole or part by DCJS grant no.__________ awarded by the Virginia Department of Criminal Justices Services (DCJS) from funds authorized by the federal Office for Victims of Crime and awarded to Virginia by the U.S. Department of Justice. The opinions, findings, conclusions or recommendations expressed are those of the authors and do not necessarily reflect the views of DCJS or the U.S. Department of Justice.</w:t>
      </w:r>
    </w:p>
    <w:p w:rsidR="00447BDB" w:rsidRPr="006B2C7D" w:rsidRDefault="00447BDB" w:rsidP="00447BDB">
      <w:pPr>
        <w:ind w:left="360"/>
        <w:jc w:val="both"/>
        <w:rPr>
          <w:i/>
          <w:sz w:val="24"/>
        </w:rPr>
      </w:pPr>
    </w:p>
    <w:p w:rsidR="001B3F88" w:rsidRPr="006B2C7D" w:rsidRDefault="001B3F88" w:rsidP="00447BDB">
      <w:pPr>
        <w:numPr>
          <w:ilvl w:val="0"/>
          <w:numId w:val="1"/>
        </w:numPr>
        <w:tabs>
          <w:tab w:val="left" w:pos="360"/>
        </w:tabs>
        <w:jc w:val="both"/>
        <w:rPr>
          <w:sz w:val="24"/>
        </w:rPr>
      </w:pPr>
      <w:r w:rsidRPr="006B2C7D">
        <w:rPr>
          <w:sz w:val="24"/>
        </w:rPr>
        <w:t>I acknowledge that a materially false, fictitious, or fraudulent statement (or concealment or omission of a material fact) in this certification, or in the application that it supports, may be the subject of criminal prosecution (including under 18 U.S.C. §§ 1001 and/or 1621, and/or 34 U.S.C. §§ 10271-10273), and also may subject me and the Applicant to civil penalties and administrative remedies for false claims or otherwise (including under 31 U.S.C. §§ 3729-3730 and 3801-3812). I also acknowledge that the Department's awards, including certifications provided in connection with such awards, are subject to review by DCJS and/or the Department, including by its Office of the Inspector General.</w:t>
      </w:r>
    </w:p>
    <w:p w:rsidR="001B3F88" w:rsidRPr="006B2C7D" w:rsidRDefault="001B3F88" w:rsidP="001B3F88">
      <w:pPr>
        <w:ind w:left="360"/>
        <w:jc w:val="both"/>
        <w:rPr>
          <w:sz w:val="24"/>
        </w:rPr>
      </w:pPr>
    </w:p>
    <w:p w:rsidR="001B3F88" w:rsidRPr="006B2C7D" w:rsidRDefault="001B3F88" w:rsidP="001B3F88">
      <w:pPr>
        <w:ind w:left="360"/>
        <w:jc w:val="both"/>
        <w:rPr>
          <w:i/>
          <w:sz w:val="24"/>
        </w:rPr>
      </w:pPr>
      <w:r w:rsidRPr="006B2C7D">
        <w:rPr>
          <w:i/>
          <w:sz w:val="24"/>
        </w:rPr>
        <w:t>On behalf of the Applicant, and in support of this application for a grant or cooperative agreement, I certify under penalty of perjury, that all of the following are true and correct:</w:t>
      </w:r>
    </w:p>
    <w:p w:rsidR="001B3F88" w:rsidRPr="006B2C7D" w:rsidRDefault="001B3F88" w:rsidP="001B3F88">
      <w:pPr>
        <w:ind w:left="360"/>
        <w:jc w:val="both"/>
        <w:rPr>
          <w:sz w:val="24"/>
        </w:rPr>
      </w:pPr>
    </w:p>
    <w:p w:rsidR="001B3F88" w:rsidRPr="006B2C7D" w:rsidRDefault="001B3F88" w:rsidP="001B3F88">
      <w:pPr>
        <w:ind w:left="360"/>
        <w:jc w:val="both"/>
        <w:rPr>
          <w:sz w:val="24"/>
        </w:rPr>
      </w:pPr>
      <w:r w:rsidRPr="006B2C7D">
        <w:rPr>
          <w:sz w:val="24"/>
        </w:rPr>
        <w:t>(1) I have the authority to make the following representations on behalf of myself and the Applicant. I understand that these representations will be relied upon as material in any DCJS decision to make an award to the Applicant based on its application.</w:t>
      </w:r>
    </w:p>
    <w:p w:rsidR="001B3F88" w:rsidRPr="006B2C7D" w:rsidRDefault="001B3F88" w:rsidP="001B3F88">
      <w:pPr>
        <w:ind w:left="360"/>
        <w:jc w:val="both"/>
        <w:rPr>
          <w:sz w:val="24"/>
        </w:rPr>
      </w:pPr>
    </w:p>
    <w:p w:rsidR="001B3F88" w:rsidRPr="006B2C7D" w:rsidRDefault="001B3F88" w:rsidP="001B3F88">
      <w:pPr>
        <w:ind w:left="360"/>
        <w:jc w:val="both"/>
        <w:rPr>
          <w:sz w:val="24"/>
        </w:rPr>
      </w:pPr>
      <w:r w:rsidRPr="006B2C7D">
        <w:rPr>
          <w:sz w:val="24"/>
        </w:rPr>
        <w:t>(2) I certify that the Applicant has the legal authority to apply for the federal assistance sought by the application, and that it has the institutional, managerial, and financial capability (including funds sufficient to pay any required non-federal share of project costs) to plan, manage, and complete the project described in the application properly.</w:t>
      </w:r>
    </w:p>
    <w:p w:rsidR="001B3F88" w:rsidRPr="006B2C7D" w:rsidRDefault="001B3F88" w:rsidP="001B3F88">
      <w:pPr>
        <w:ind w:left="360"/>
        <w:jc w:val="both"/>
        <w:rPr>
          <w:sz w:val="24"/>
        </w:rPr>
      </w:pPr>
    </w:p>
    <w:p w:rsidR="001B3F88" w:rsidRPr="006B2C7D" w:rsidRDefault="001B3F88" w:rsidP="001B3F88">
      <w:pPr>
        <w:ind w:left="360"/>
        <w:jc w:val="both"/>
        <w:rPr>
          <w:sz w:val="24"/>
        </w:rPr>
      </w:pPr>
      <w:r w:rsidRPr="006B2C7D">
        <w:rPr>
          <w:sz w:val="24"/>
        </w:rPr>
        <w:t>(3) I assure that, throughout the period of performance for the award (if any) made by DCJS based on the application--</w:t>
      </w:r>
    </w:p>
    <w:p w:rsidR="001B3F88" w:rsidRPr="006B2C7D" w:rsidRDefault="001B3F88" w:rsidP="001B3F88">
      <w:pPr>
        <w:ind w:left="360"/>
        <w:jc w:val="both"/>
        <w:rPr>
          <w:sz w:val="24"/>
        </w:rPr>
      </w:pPr>
      <w:proofErr w:type="gramStart"/>
      <w:r w:rsidRPr="006B2C7D">
        <w:rPr>
          <w:sz w:val="24"/>
        </w:rPr>
        <w:t>a</w:t>
      </w:r>
      <w:proofErr w:type="gramEnd"/>
      <w:r w:rsidRPr="006B2C7D">
        <w:rPr>
          <w:sz w:val="24"/>
        </w:rPr>
        <w:t>.   the Applicant will comply with all award requirements and all federal statutes and regulations applicable to the award;</w:t>
      </w:r>
    </w:p>
    <w:p w:rsidR="001B3F88" w:rsidRPr="006B2C7D" w:rsidRDefault="001B3F88" w:rsidP="001B3F88">
      <w:pPr>
        <w:ind w:left="360"/>
        <w:jc w:val="both"/>
        <w:rPr>
          <w:sz w:val="24"/>
        </w:rPr>
      </w:pPr>
      <w:proofErr w:type="gramStart"/>
      <w:r w:rsidRPr="006B2C7D">
        <w:rPr>
          <w:sz w:val="24"/>
        </w:rPr>
        <w:lastRenderedPageBreak/>
        <w:t>b</w:t>
      </w:r>
      <w:proofErr w:type="gramEnd"/>
      <w:r w:rsidRPr="006B2C7D">
        <w:rPr>
          <w:sz w:val="24"/>
        </w:rPr>
        <w:t>.   the Applicant will require all sub-recipients to comply with all applicable award requirements and all applicable federal statutes and regulations; and</w:t>
      </w:r>
    </w:p>
    <w:p w:rsidR="001B3F88" w:rsidRPr="006B2C7D" w:rsidRDefault="001B3F88" w:rsidP="001B3F88">
      <w:pPr>
        <w:ind w:left="360"/>
        <w:jc w:val="both"/>
        <w:rPr>
          <w:sz w:val="24"/>
        </w:rPr>
      </w:pPr>
      <w:proofErr w:type="gramStart"/>
      <w:r w:rsidRPr="006B2C7D">
        <w:rPr>
          <w:sz w:val="24"/>
        </w:rPr>
        <w:t>c</w:t>
      </w:r>
      <w:proofErr w:type="gramEnd"/>
      <w:r w:rsidRPr="006B2C7D">
        <w:rPr>
          <w:sz w:val="24"/>
        </w:rPr>
        <w:t>.   the Applicant will maintain safeguards to address and prevent any organizational conflict of interest, and also to prohibit employees from using their positions in any manner that poses, or appears to pose, a personal or financial conflict of interest.</w:t>
      </w:r>
    </w:p>
    <w:p w:rsidR="001B3F88" w:rsidRPr="006B2C7D" w:rsidRDefault="001B3F88" w:rsidP="001B3F88">
      <w:pPr>
        <w:ind w:left="360"/>
        <w:jc w:val="both"/>
        <w:rPr>
          <w:sz w:val="24"/>
        </w:rPr>
      </w:pPr>
    </w:p>
    <w:p w:rsidR="001B3F88" w:rsidRPr="006B2C7D" w:rsidRDefault="001B3F88" w:rsidP="001B3F88">
      <w:pPr>
        <w:ind w:left="360"/>
        <w:jc w:val="both"/>
        <w:rPr>
          <w:sz w:val="24"/>
        </w:rPr>
      </w:pPr>
      <w:r w:rsidRPr="006B2C7D">
        <w:rPr>
          <w:sz w:val="24"/>
        </w:rPr>
        <w:t>(4) The Applicant understands that the federal statutes and regulations applicable to the award (if any) made by the Department of Justice (“Department”) and pass through DCJS based on the application specifically include statutes and regulations pertaining to civil rights and nondiscrimination, and, in addition--</w:t>
      </w:r>
    </w:p>
    <w:p w:rsidR="001B3F88" w:rsidRPr="006B2C7D" w:rsidRDefault="001B3F88" w:rsidP="001B3F88">
      <w:pPr>
        <w:numPr>
          <w:ilvl w:val="0"/>
          <w:numId w:val="3"/>
        </w:numPr>
        <w:jc w:val="both"/>
        <w:rPr>
          <w:sz w:val="24"/>
        </w:rPr>
      </w:pPr>
      <w:r w:rsidRPr="006B2C7D">
        <w:rPr>
          <w:sz w:val="24"/>
        </w:rPr>
        <w:t>the Applicant understands that the applicable statutes pertaining to civil rights will include section 601 of the Civil Rights Act of 1964 (42 U.S.C. § 2000d); section 504 of the Rehabilitation Act of 1973 (29 U.S.C. § 794); section 901 of the Education Amendments of 1972 (20 U.S.C. § 1681); and section 303 of the Age Discrimination Act of 1975 (42 U.S.C. § 6102);</w:t>
      </w:r>
    </w:p>
    <w:p w:rsidR="001B3F88" w:rsidRPr="006B2C7D" w:rsidRDefault="001B3F88" w:rsidP="001B3F88">
      <w:pPr>
        <w:numPr>
          <w:ilvl w:val="0"/>
          <w:numId w:val="3"/>
        </w:numPr>
        <w:jc w:val="both"/>
        <w:rPr>
          <w:sz w:val="24"/>
        </w:rPr>
      </w:pPr>
      <w:r w:rsidRPr="006B2C7D">
        <w:rPr>
          <w:sz w:val="24"/>
        </w:rPr>
        <w:t>the Applicant understands that the applicable statutes pertaining to nondiscrimination may include section 809(c) of Title I of the Omnibus Crime Control and Safe Streets Act of 1968 (34 U.S.C. § 10228(c)); section 1407(e) of the Victims of Crime Act of 1984 (34 U.S.C. § 20110(e)); section 299A(b) of the Juvenile Justice and Delinquency Prevention Act of 2002 (34 U.S.C. § 11182(b)); and that the grant condition set out at section 40002(b)(13) of the Violence Against Women Act (34 U.S.C. § 12291(b)(13)), which will apply to all awards made by the Office on Violence Against Women, also may apply to an award made otherwise;</w:t>
      </w:r>
    </w:p>
    <w:p w:rsidR="001B3F88" w:rsidRPr="006B2C7D" w:rsidRDefault="001B3F88" w:rsidP="001B3F88">
      <w:pPr>
        <w:numPr>
          <w:ilvl w:val="0"/>
          <w:numId w:val="3"/>
        </w:numPr>
        <w:jc w:val="both"/>
        <w:rPr>
          <w:sz w:val="24"/>
        </w:rPr>
      </w:pPr>
      <w:r w:rsidRPr="006B2C7D">
        <w:rPr>
          <w:sz w:val="24"/>
        </w:rPr>
        <w:t>the Applicant understands that any sub-recipients are required to comply with all such applicable statutes (and associated regulations); and</w:t>
      </w:r>
    </w:p>
    <w:p w:rsidR="001B3F88" w:rsidRPr="006B2C7D" w:rsidRDefault="001B3F88" w:rsidP="001B3F88">
      <w:pPr>
        <w:numPr>
          <w:ilvl w:val="0"/>
          <w:numId w:val="3"/>
        </w:numPr>
        <w:jc w:val="both"/>
        <w:rPr>
          <w:sz w:val="24"/>
        </w:rPr>
      </w:pPr>
      <w:proofErr w:type="gramStart"/>
      <w:r w:rsidRPr="006B2C7D">
        <w:rPr>
          <w:sz w:val="24"/>
        </w:rPr>
        <w:t>on</w:t>
      </w:r>
      <w:proofErr w:type="gramEnd"/>
      <w:r w:rsidRPr="006B2C7D">
        <w:rPr>
          <w:sz w:val="24"/>
        </w:rPr>
        <w:t xml:space="preserve"> behalf of the Applicant, I make the specific assurances set out in 28 C.F.R. §§ 42.105 and 42.204.</w:t>
      </w:r>
    </w:p>
    <w:p w:rsidR="001B3F88" w:rsidRPr="006B2C7D" w:rsidRDefault="001B3F88" w:rsidP="001B3F88">
      <w:pPr>
        <w:numPr>
          <w:ilvl w:val="0"/>
          <w:numId w:val="3"/>
        </w:numPr>
        <w:jc w:val="both"/>
        <w:rPr>
          <w:sz w:val="24"/>
        </w:rPr>
      </w:pPr>
      <w:r w:rsidRPr="006B2C7D">
        <w:rPr>
          <w:sz w:val="24"/>
        </w:rPr>
        <w:t>the Applicant understands that (in addition to any applicable program-specific regulations and to applicable federal regulations that pertain to civil rights and nondiscrimination) the federal regulations applicable to the award (if any) made by the DCJS based on the application may include, but are not limited to, 2 C.F.R. Part 2800 (the DOJ "Part 200 Uniform Requirements") and 28 C.F.R. Parts 22 (confidentiality - research and statistical information), 23 (criminal intelligence systems), 38 (regarding faith-based or religious organizations participating in federal financial assistance programs), and 46 (human subjects protection).</w:t>
      </w:r>
    </w:p>
    <w:p w:rsidR="001B3F88" w:rsidRPr="006B2C7D" w:rsidRDefault="001B3F88" w:rsidP="001B3F88">
      <w:pPr>
        <w:ind w:left="360"/>
        <w:jc w:val="both"/>
        <w:rPr>
          <w:sz w:val="24"/>
        </w:rPr>
      </w:pPr>
    </w:p>
    <w:p w:rsidR="001B3F88" w:rsidRPr="006B2C7D" w:rsidRDefault="001B3F88" w:rsidP="001B3F88">
      <w:pPr>
        <w:ind w:left="360"/>
        <w:jc w:val="both"/>
        <w:rPr>
          <w:sz w:val="24"/>
        </w:rPr>
      </w:pPr>
    </w:p>
    <w:p w:rsidR="001B3F88" w:rsidRPr="006B2C7D" w:rsidRDefault="001B3F88" w:rsidP="001B3F88">
      <w:pPr>
        <w:ind w:left="360"/>
        <w:jc w:val="both"/>
        <w:rPr>
          <w:sz w:val="24"/>
        </w:rPr>
      </w:pPr>
      <w:r w:rsidRPr="006B2C7D">
        <w:rPr>
          <w:sz w:val="24"/>
        </w:rPr>
        <w:t>_________________________________________</w:t>
      </w:r>
    </w:p>
    <w:p w:rsidR="001B3F88" w:rsidRPr="006B2C7D" w:rsidRDefault="001B3F88" w:rsidP="001B3F88">
      <w:pPr>
        <w:ind w:left="360"/>
        <w:jc w:val="both"/>
        <w:rPr>
          <w:sz w:val="24"/>
        </w:rPr>
      </w:pPr>
      <w:r w:rsidRPr="006B2C7D">
        <w:rPr>
          <w:sz w:val="24"/>
        </w:rPr>
        <w:t>Project Administrator Name</w:t>
      </w:r>
    </w:p>
    <w:p w:rsidR="001B3F88" w:rsidRPr="006B2C7D" w:rsidRDefault="001B3F88" w:rsidP="001B3F88">
      <w:pPr>
        <w:ind w:left="360"/>
        <w:jc w:val="both"/>
        <w:rPr>
          <w:sz w:val="24"/>
        </w:rPr>
      </w:pPr>
    </w:p>
    <w:p w:rsidR="001B3F88" w:rsidRPr="006B2C7D" w:rsidRDefault="001B3F88" w:rsidP="001B3F88">
      <w:pPr>
        <w:ind w:left="360"/>
        <w:jc w:val="both"/>
        <w:rPr>
          <w:sz w:val="24"/>
        </w:rPr>
      </w:pPr>
    </w:p>
    <w:p w:rsidR="001B3F88" w:rsidRPr="006B2C7D" w:rsidRDefault="001B3F88" w:rsidP="001B3F88">
      <w:pPr>
        <w:ind w:left="360"/>
        <w:jc w:val="both"/>
        <w:rPr>
          <w:sz w:val="24"/>
        </w:rPr>
      </w:pPr>
    </w:p>
    <w:p w:rsidR="001B3F88" w:rsidRPr="006B2C7D" w:rsidRDefault="001B3F88" w:rsidP="00447BDB">
      <w:pPr>
        <w:ind w:firstLine="360"/>
        <w:jc w:val="both"/>
        <w:rPr>
          <w:sz w:val="24"/>
        </w:rPr>
      </w:pPr>
      <w:r w:rsidRPr="006B2C7D">
        <w:rPr>
          <w:sz w:val="24"/>
        </w:rPr>
        <w:t>_________________________________________</w:t>
      </w:r>
      <w:r w:rsidRPr="006B2C7D">
        <w:rPr>
          <w:sz w:val="24"/>
        </w:rPr>
        <w:tab/>
      </w:r>
      <w:r w:rsidRPr="006B2C7D">
        <w:rPr>
          <w:sz w:val="24"/>
        </w:rPr>
        <w:tab/>
      </w:r>
      <w:r w:rsidR="00447BDB" w:rsidRPr="006B2C7D">
        <w:rPr>
          <w:sz w:val="24"/>
        </w:rPr>
        <w:t>_________________</w:t>
      </w:r>
    </w:p>
    <w:p w:rsidR="001B3F88" w:rsidRPr="006B2C7D" w:rsidRDefault="001B3F88" w:rsidP="001B3F88">
      <w:pPr>
        <w:ind w:left="360"/>
        <w:jc w:val="both"/>
        <w:rPr>
          <w:sz w:val="24"/>
        </w:rPr>
      </w:pPr>
      <w:r w:rsidRPr="006B2C7D">
        <w:rPr>
          <w:sz w:val="24"/>
        </w:rPr>
        <w:t>Project Administrator Signature</w:t>
      </w:r>
      <w:r w:rsidRPr="006B2C7D">
        <w:rPr>
          <w:sz w:val="24"/>
        </w:rPr>
        <w:tab/>
      </w:r>
      <w:r w:rsidRPr="006B2C7D">
        <w:rPr>
          <w:sz w:val="24"/>
        </w:rPr>
        <w:tab/>
      </w:r>
      <w:r w:rsidRPr="006B2C7D">
        <w:rPr>
          <w:sz w:val="24"/>
        </w:rPr>
        <w:tab/>
      </w:r>
      <w:r w:rsidRPr="006B2C7D">
        <w:rPr>
          <w:sz w:val="24"/>
        </w:rPr>
        <w:tab/>
      </w:r>
      <w:r w:rsidR="00447BDB" w:rsidRPr="006B2C7D">
        <w:rPr>
          <w:sz w:val="24"/>
        </w:rPr>
        <w:tab/>
      </w:r>
      <w:r w:rsidRPr="006B2C7D">
        <w:rPr>
          <w:sz w:val="24"/>
        </w:rPr>
        <w:t>Date</w:t>
      </w:r>
    </w:p>
    <w:p w:rsidR="001B3F88" w:rsidRPr="006B2C7D" w:rsidRDefault="001B3F88" w:rsidP="001B3F88">
      <w:pPr>
        <w:ind w:left="360"/>
        <w:jc w:val="both"/>
        <w:rPr>
          <w:sz w:val="24"/>
        </w:rPr>
      </w:pPr>
    </w:p>
    <w:p w:rsidR="009F551A" w:rsidRPr="006B2C7D" w:rsidRDefault="009F551A" w:rsidP="001B3F88"/>
    <w:p w:rsidR="009F551A" w:rsidRPr="006B2C7D" w:rsidRDefault="009F551A"/>
    <w:sectPr w:rsidR="009F551A" w:rsidRPr="006B2C7D" w:rsidSect="005C6882">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764" w:rsidRDefault="00347764">
      <w:r>
        <w:separator/>
      </w:r>
    </w:p>
  </w:endnote>
  <w:endnote w:type="continuationSeparator" w:id="0">
    <w:p w:rsidR="00347764" w:rsidRDefault="00347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51A" w:rsidRDefault="009F5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764" w:rsidRDefault="00347764">
      <w:r>
        <w:separator/>
      </w:r>
    </w:p>
  </w:footnote>
  <w:footnote w:type="continuationSeparator" w:id="0">
    <w:p w:rsidR="00347764" w:rsidRDefault="00347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51A" w:rsidRDefault="009F5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8315C"/>
    <w:multiLevelType w:val="singleLevel"/>
    <w:tmpl w:val="0409000F"/>
    <w:lvl w:ilvl="0">
      <w:start w:val="16"/>
      <w:numFmt w:val="decimal"/>
      <w:lvlText w:val="%1."/>
      <w:lvlJc w:val="left"/>
      <w:pPr>
        <w:tabs>
          <w:tab w:val="num" w:pos="360"/>
        </w:tabs>
        <w:ind w:left="360" w:hanging="360"/>
      </w:pPr>
      <w:rPr>
        <w:rFonts w:hint="default"/>
      </w:rPr>
    </w:lvl>
  </w:abstractNum>
  <w:abstractNum w:abstractNumId="1" w15:restartNumberingAfterBreak="0">
    <w:nsid w:val="77C20E5D"/>
    <w:multiLevelType w:val="singleLevel"/>
    <w:tmpl w:val="888271E0"/>
    <w:lvl w:ilvl="0">
      <w:start w:val="19"/>
      <w:numFmt w:val="decimal"/>
      <w:lvlText w:val="%1."/>
      <w:legacy w:legacy="1" w:legacySpace="0" w:legacyIndent="360"/>
      <w:lvlJc w:val="left"/>
      <w:pPr>
        <w:ind w:left="360" w:hanging="360"/>
      </w:pPr>
    </w:lvl>
  </w:abstractNum>
  <w:abstractNum w:abstractNumId="2" w15:restartNumberingAfterBreak="0">
    <w:nsid w:val="7A6B2D68"/>
    <w:multiLevelType w:val="multilevel"/>
    <w:tmpl w:val="3760B2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83"/>
    <w:rsid w:val="000D4787"/>
    <w:rsid w:val="000F2C07"/>
    <w:rsid w:val="001B3F88"/>
    <w:rsid w:val="001C5676"/>
    <w:rsid w:val="00347764"/>
    <w:rsid w:val="00447BDB"/>
    <w:rsid w:val="00467039"/>
    <w:rsid w:val="005C6882"/>
    <w:rsid w:val="00613383"/>
    <w:rsid w:val="006A5565"/>
    <w:rsid w:val="006B2C7D"/>
    <w:rsid w:val="007F5B30"/>
    <w:rsid w:val="00932D1F"/>
    <w:rsid w:val="009530B3"/>
    <w:rsid w:val="009F551A"/>
    <w:rsid w:val="00A56AFC"/>
    <w:rsid w:val="00C37EAD"/>
    <w:rsid w:val="00CE51D2"/>
    <w:rsid w:val="00D10DDD"/>
    <w:rsid w:val="00D6016D"/>
    <w:rsid w:val="00D73BE5"/>
    <w:rsid w:val="00E23D96"/>
    <w:rsid w:val="00E2467E"/>
    <w:rsid w:val="00E36C07"/>
    <w:rsid w:val="00E50B38"/>
    <w:rsid w:val="00F06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5B50B10B-2BA5-40DD-93ED-A788A646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882"/>
  </w:style>
  <w:style w:type="paragraph" w:styleId="Heading1">
    <w:name w:val="heading 1"/>
    <w:basedOn w:val="Normal"/>
    <w:next w:val="Normal"/>
    <w:qFormat/>
    <w:rsid w:val="005C6882"/>
    <w:pPr>
      <w:keepNext/>
      <w:ind w:left="720"/>
      <w:jc w:val="both"/>
      <w:outlineLvl w:val="0"/>
    </w:pPr>
    <w:rPr>
      <w:sz w:val="24"/>
      <w:u w:val="single"/>
    </w:rPr>
  </w:style>
  <w:style w:type="paragraph" w:styleId="Heading2">
    <w:name w:val="heading 2"/>
    <w:basedOn w:val="Normal"/>
    <w:next w:val="Normal"/>
    <w:qFormat/>
    <w:rsid w:val="005C6882"/>
    <w:pPr>
      <w:keepNext/>
      <w:ind w:left="720"/>
      <w:jc w:val="center"/>
      <w:outlineLvl w:val="1"/>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6882"/>
    <w:pPr>
      <w:tabs>
        <w:tab w:val="center" w:pos="4320"/>
        <w:tab w:val="right" w:pos="8640"/>
      </w:tabs>
    </w:pPr>
    <w:rPr>
      <w:sz w:val="24"/>
    </w:rPr>
  </w:style>
  <w:style w:type="character" w:styleId="PageNumber">
    <w:name w:val="page number"/>
    <w:basedOn w:val="DefaultParagraphFont"/>
    <w:rsid w:val="005C6882"/>
  </w:style>
  <w:style w:type="paragraph" w:styleId="Title">
    <w:name w:val="Title"/>
    <w:basedOn w:val="Normal"/>
    <w:qFormat/>
    <w:rsid w:val="005C6882"/>
    <w:pPr>
      <w:jc w:val="center"/>
    </w:pPr>
    <w:rPr>
      <w:b/>
      <w:sz w:val="24"/>
    </w:rPr>
  </w:style>
  <w:style w:type="paragraph" w:styleId="Header">
    <w:name w:val="header"/>
    <w:basedOn w:val="Normal"/>
    <w:link w:val="HeaderChar"/>
    <w:uiPriority w:val="99"/>
    <w:rsid w:val="005C6882"/>
    <w:pPr>
      <w:tabs>
        <w:tab w:val="center" w:pos="4320"/>
        <w:tab w:val="right" w:pos="8640"/>
      </w:tabs>
    </w:pPr>
  </w:style>
  <w:style w:type="paragraph" w:styleId="BodyText2">
    <w:name w:val="Body Text 2"/>
    <w:basedOn w:val="Normal"/>
    <w:rsid w:val="005C6882"/>
    <w:pPr>
      <w:ind w:firstLine="360"/>
      <w:jc w:val="both"/>
    </w:pPr>
    <w:rPr>
      <w:sz w:val="24"/>
    </w:rPr>
  </w:style>
  <w:style w:type="character" w:styleId="Hyperlink">
    <w:name w:val="Hyperlink"/>
    <w:basedOn w:val="DefaultParagraphFont"/>
    <w:rsid w:val="005C6882"/>
    <w:rPr>
      <w:color w:val="0000FF"/>
      <w:u w:val="single"/>
    </w:rPr>
  </w:style>
  <w:style w:type="character" w:styleId="Strong">
    <w:name w:val="Strong"/>
    <w:basedOn w:val="DefaultParagraphFont"/>
    <w:qFormat/>
    <w:rsid w:val="005C6882"/>
    <w:rPr>
      <w:b/>
    </w:rPr>
  </w:style>
  <w:style w:type="paragraph" w:styleId="BodyTextIndent">
    <w:name w:val="Body Text Indent"/>
    <w:basedOn w:val="Normal"/>
    <w:rsid w:val="005C6882"/>
    <w:pPr>
      <w:ind w:left="720"/>
    </w:pPr>
    <w:rPr>
      <w:sz w:val="24"/>
    </w:rPr>
  </w:style>
  <w:style w:type="paragraph" w:styleId="BodyText">
    <w:name w:val="Body Text"/>
    <w:basedOn w:val="Normal"/>
    <w:rsid w:val="005C6882"/>
    <w:pPr>
      <w:spacing w:after="120"/>
    </w:pPr>
  </w:style>
  <w:style w:type="paragraph" w:styleId="BodyText3">
    <w:name w:val="Body Text 3"/>
    <w:basedOn w:val="Normal"/>
    <w:rsid w:val="005C6882"/>
    <w:pPr>
      <w:spacing w:line="201" w:lineRule="exact"/>
    </w:pPr>
    <w:rPr>
      <w:sz w:val="28"/>
    </w:rPr>
  </w:style>
  <w:style w:type="paragraph" w:styleId="Subtitle">
    <w:name w:val="Subtitle"/>
    <w:basedOn w:val="Normal"/>
    <w:qFormat/>
    <w:rsid w:val="005C6882"/>
    <w:pPr>
      <w:widowControl w:val="0"/>
      <w:jc w:val="center"/>
    </w:pPr>
    <w:rPr>
      <w:b/>
      <w:snapToGrid w:val="0"/>
      <w:color w:val="000000"/>
      <w:sz w:val="24"/>
    </w:rPr>
  </w:style>
  <w:style w:type="paragraph" w:styleId="BalloonText">
    <w:name w:val="Balloon Text"/>
    <w:basedOn w:val="Normal"/>
    <w:link w:val="BalloonTextChar"/>
    <w:semiHidden/>
    <w:unhideWhenUsed/>
    <w:rsid w:val="00467039"/>
    <w:rPr>
      <w:rFonts w:ascii="Segoe UI" w:hAnsi="Segoe UI" w:cs="Segoe UI"/>
      <w:sz w:val="18"/>
      <w:szCs w:val="18"/>
    </w:rPr>
  </w:style>
  <w:style w:type="character" w:customStyle="1" w:styleId="BalloonTextChar">
    <w:name w:val="Balloon Text Char"/>
    <w:basedOn w:val="DefaultParagraphFont"/>
    <w:link w:val="BalloonText"/>
    <w:semiHidden/>
    <w:rsid w:val="00467039"/>
    <w:rPr>
      <w:rFonts w:ascii="Segoe UI" w:hAnsi="Segoe UI" w:cs="Segoe UI"/>
      <w:sz w:val="18"/>
      <w:szCs w:val="18"/>
    </w:rPr>
  </w:style>
  <w:style w:type="character" w:customStyle="1" w:styleId="HeaderChar">
    <w:name w:val="Header Char"/>
    <w:basedOn w:val="DefaultParagraphFont"/>
    <w:link w:val="Header"/>
    <w:uiPriority w:val="99"/>
    <w:rsid w:val="006A5565"/>
  </w:style>
  <w:style w:type="character" w:customStyle="1" w:styleId="FooterChar">
    <w:name w:val="Footer Char"/>
    <w:basedOn w:val="DefaultParagraphFont"/>
    <w:link w:val="Footer"/>
    <w:uiPriority w:val="99"/>
    <w:rsid w:val="006A556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2537</Words>
  <Characters>14465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VICTIMS OF CRIME ACT</vt:lpstr>
    </vt:vector>
  </TitlesOfParts>
  <Company>DCJS</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VICTIMS OF CRIME ACT</dc:title>
  <dc:creator>Virginia Micou Sneed</dc:creator>
  <cp:lastModifiedBy>Marks, Laurel (DCJS)</cp:lastModifiedBy>
  <cp:revision>2</cp:revision>
  <cp:lastPrinted>2019-01-04T16:35:00Z</cp:lastPrinted>
  <dcterms:created xsi:type="dcterms:W3CDTF">2019-02-06T18:21:00Z</dcterms:created>
  <dcterms:modified xsi:type="dcterms:W3CDTF">2019-02-06T18:21:00Z</dcterms:modified>
</cp:coreProperties>
</file>